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32E8" w14:textId="77777777" w:rsidR="00107D55" w:rsidRPr="002E122B" w:rsidRDefault="00107D55" w:rsidP="00F85B68">
      <w:pPr>
        <w:spacing w:after="0" w:line="276" w:lineRule="auto"/>
        <w:ind w:left="-284"/>
        <w:rPr>
          <w:rFonts w:ascii="Verdana" w:hAnsi="Verdana" w:cs="Arial"/>
          <w:b/>
          <w:sz w:val="18"/>
          <w:szCs w:val="18"/>
        </w:rPr>
      </w:pPr>
      <w:r w:rsidRPr="002E122B">
        <w:rPr>
          <w:rFonts w:ascii="Verdana" w:hAnsi="Verdana"/>
          <w:noProof/>
          <w:lang w:eastAsia="pl-PL"/>
        </w:rPr>
        <w:drawing>
          <wp:inline distT="0" distB="0" distL="0" distR="0" wp14:anchorId="6BDE1F27" wp14:editId="435E0172">
            <wp:extent cx="5760720" cy="61150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1505"/>
                    </a:xfrm>
                    <a:prstGeom prst="rect">
                      <a:avLst/>
                    </a:prstGeom>
                    <a:noFill/>
                    <a:ln>
                      <a:noFill/>
                    </a:ln>
                  </pic:spPr>
                </pic:pic>
              </a:graphicData>
            </a:graphic>
          </wp:inline>
        </w:drawing>
      </w:r>
    </w:p>
    <w:p w14:paraId="2612D90E" w14:textId="662347E2" w:rsidR="00107D55" w:rsidRPr="002D04E1" w:rsidRDefault="00107D55" w:rsidP="001F2901">
      <w:pPr>
        <w:pStyle w:val="Nagwek1"/>
        <w:rPr>
          <w:bCs/>
        </w:rPr>
      </w:pPr>
      <w:r w:rsidRPr="002D04E1">
        <w:t>Roczny Plan Działania na rok:</w:t>
      </w:r>
      <w:r w:rsidR="00632873" w:rsidRPr="002D04E1">
        <w:t xml:space="preserve"> 202</w:t>
      </w:r>
      <w:r w:rsidR="00017509" w:rsidRPr="002D04E1">
        <w:t>5</w:t>
      </w:r>
    </w:p>
    <w:p w14:paraId="3C1DC1C8" w14:textId="171EEE48" w:rsidR="00107D55" w:rsidRPr="002D04E1" w:rsidRDefault="00107D55" w:rsidP="001F2901">
      <w:pPr>
        <w:spacing w:before="120" w:after="120" w:line="360" w:lineRule="auto"/>
        <w:contextualSpacing/>
        <w:rPr>
          <w:rFonts w:ascii="Verdana" w:hAnsi="Verdana" w:cs="Arial"/>
          <w:sz w:val="24"/>
          <w:szCs w:val="24"/>
        </w:rPr>
      </w:pPr>
      <w:r w:rsidRPr="002D04E1">
        <w:rPr>
          <w:rFonts w:ascii="Verdana" w:hAnsi="Verdana" w:cs="Arial"/>
          <w:b/>
          <w:sz w:val="24"/>
          <w:szCs w:val="24"/>
        </w:rPr>
        <w:t>Tytuł lub zakres projektu:</w:t>
      </w:r>
      <w:r w:rsidR="002056A6" w:rsidRPr="002D04E1">
        <w:rPr>
          <w:rFonts w:ascii="Verdana" w:hAnsi="Verdana" w:cs="Arial"/>
          <w:b/>
          <w:sz w:val="24"/>
          <w:szCs w:val="24"/>
        </w:rPr>
        <w:t xml:space="preserve"> </w:t>
      </w:r>
      <w:bookmarkStart w:id="0" w:name="_Hlk183863372"/>
      <w:r w:rsidR="00017509" w:rsidRPr="002D04E1">
        <w:rPr>
          <w:rFonts w:ascii="Verdana" w:hAnsi="Verdana" w:cs="Arial"/>
          <w:sz w:val="24"/>
          <w:szCs w:val="24"/>
        </w:rPr>
        <w:t>Mentoring dla firm w trudnościach</w:t>
      </w:r>
      <w:r w:rsidR="00A20CF7" w:rsidRPr="002D04E1">
        <w:rPr>
          <w:rFonts w:ascii="Verdana" w:hAnsi="Verdana" w:cs="Arial"/>
          <w:sz w:val="24"/>
          <w:szCs w:val="24"/>
        </w:rPr>
        <w:t xml:space="preserve"> - </w:t>
      </w:r>
      <w:r w:rsidR="00017509" w:rsidRPr="002D04E1">
        <w:rPr>
          <w:rFonts w:ascii="Verdana" w:hAnsi="Verdana" w:cs="Arial"/>
          <w:sz w:val="24"/>
          <w:szCs w:val="24"/>
        </w:rPr>
        <w:t xml:space="preserve">wsparcie dla przedsiębiorców </w:t>
      </w:r>
      <w:bookmarkEnd w:id="0"/>
    </w:p>
    <w:p w14:paraId="7E1593EB" w14:textId="1ACB0710" w:rsidR="00107D55" w:rsidRPr="002D04E1" w:rsidRDefault="00107D55" w:rsidP="001F2901">
      <w:pPr>
        <w:spacing w:before="120" w:after="120" w:line="360" w:lineRule="auto"/>
        <w:rPr>
          <w:rFonts w:ascii="Verdana" w:hAnsi="Verdana" w:cs="Arial"/>
          <w:bCs/>
          <w:sz w:val="24"/>
          <w:szCs w:val="24"/>
        </w:rPr>
      </w:pPr>
      <w:r w:rsidRPr="002D04E1">
        <w:rPr>
          <w:rFonts w:ascii="Verdana" w:hAnsi="Verdana" w:cs="Arial"/>
          <w:b/>
          <w:sz w:val="24"/>
          <w:szCs w:val="24"/>
        </w:rPr>
        <w:t>Wersja fiszki:</w:t>
      </w:r>
      <w:r w:rsidR="00632873" w:rsidRPr="002D04E1">
        <w:rPr>
          <w:rFonts w:ascii="Verdana" w:hAnsi="Verdana" w:cs="Arial"/>
          <w:bCs/>
          <w:sz w:val="24"/>
          <w:szCs w:val="24"/>
        </w:rPr>
        <w:t xml:space="preserve"> 1</w:t>
      </w:r>
    </w:p>
    <w:p w14:paraId="1CD89A9B" w14:textId="068CAC22" w:rsidR="00107D55" w:rsidRPr="002D04E1" w:rsidRDefault="00107D55" w:rsidP="001F2901">
      <w:pPr>
        <w:spacing w:before="120" w:after="120" w:line="360" w:lineRule="auto"/>
        <w:rPr>
          <w:rFonts w:ascii="Verdana" w:hAnsi="Verdana" w:cs="Arial"/>
          <w:bCs/>
          <w:sz w:val="24"/>
          <w:szCs w:val="24"/>
        </w:rPr>
      </w:pPr>
      <w:r w:rsidRPr="002D04E1">
        <w:rPr>
          <w:rFonts w:ascii="Verdana" w:hAnsi="Verdana" w:cs="Arial"/>
          <w:b/>
          <w:sz w:val="24"/>
          <w:szCs w:val="24"/>
        </w:rPr>
        <w:t>Numer i data uchwały Komitetu Monitorującego:</w:t>
      </w:r>
      <w:r w:rsidRPr="002D04E1">
        <w:rPr>
          <w:rFonts w:ascii="Verdana" w:hAnsi="Verdana" w:cs="Arial"/>
          <w:bCs/>
          <w:sz w:val="24"/>
          <w:szCs w:val="24"/>
        </w:rPr>
        <w:t xml:space="preserve"> </w:t>
      </w:r>
      <w:r w:rsidR="002004C2">
        <w:rPr>
          <w:rFonts w:ascii="Verdana" w:hAnsi="Verdana" w:cs="Arial"/>
          <w:bCs/>
          <w:sz w:val="24"/>
          <w:szCs w:val="24"/>
        </w:rPr>
        <w:t xml:space="preserve">nr 123 z </w:t>
      </w:r>
      <w:r w:rsidR="002004C2" w:rsidRPr="002004C2">
        <w:rPr>
          <w:rFonts w:ascii="Verdana" w:hAnsi="Verdana" w:cs="Arial"/>
          <w:bCs/>
          <w:sz w:val="24"/>
          <w:szCs w:val="24"/>
        </w:rPr>
        <w:t>19 lutego 2025 roku</w:t>
      </w:r>
      <w:r w:rsidR="00C151BC" w:rsidRPr="002D04E1">
        <w:rPr>
          <w:rFonts w:ascii="Verdana" w:hAnsi="Verdana" w:cs="Arial"/>
          <w:bCs/>
          <w:sz w:val="24"/>
          <w:szCs w:val="24"/>
        </w:rPr>
        <w:t>.</w:t>
      </w:r>
    </w:p>
    <w:p w14:paraId="3CAFE614" w14:textId="77777777" w:rsidR="00107D55" w:rsidRPr="002D04E1" w:rsidRDefault="00107D55" w:rsidP="001F2901">
      <w:pPr>
        <w:pStyle w:val="Nagwek1"/>
        <w:rPr>
          <w:b w:val="0"/>
        </w:rPr>
      </w:pPr>
      <w:r w:rsidRPr="002D04E1">
        <w:t>Informacje o instytucji opracowującej fiszkę:</w:t>
      </w:r>
    </w:p>
    <w:p w14:paraId="4DA54C05" w14:textId="77777777" w:rsidR="00632873" w:rsidRPr="002D04E1" w:rsidRDefault="00107D55" w:rsidP="002E4A90">
      <w:pPr>
        <w:spacing w:before="120" w:after="240" w:line="360" w:lineRule="auto"/>
        <w:contextualSpacing/>
        <w:rPr>
          <w:rFonts w:ascii="Verdana" w:hAnsi="Verdana" w:cs="Arial"/>
          <w:bCs/>
          <w:sz w:val="24"/>
          <w:szCs w:val="24"/>
        </w:rPr>
      </w:pPr>
      <w:r w:rsidRPr="002D04E1">
        <w:rPr>
          <w:rFonts w:ascii="Verdana" w:hAnsi="Verdana" w:cs="Arial"/>
          <w:b/>
          <w:sz w:val="24"/>
          <w:szCs w:val="24"/>
        </w:rPr>
        <w:t xml:space="preserve">Instytucja: </w:t>
      </w:r>
      <w:r w:rsidR="00632873" w:rsidRPr="002D04E1">
        <w:rPr>
          <w:rFonts w:ascii="Verdana" w:hAnsi="Verdana" w:cs="Arial"/>
          <w:bCs/>
          <w:sz w:val="24"/>
          <w:szCs w:val="24"/>
        </w:rPr>
        <w:t xml:space="preserve">Polska Agencja Rozwoju Przedsiębiorczości </w:t>
      </w:r>
    </w:p>
    <w:p w14:paraId="6026F38F" w14:textId="4EF712B8" w:rsidR="00107D55" w:rsidRPr="002D04E1" w:rsidRDefault="00107D55" w:rsidP="002E4A90">
      <w:pPr>
        <w:spacing w:before="120" w:after="240" w:line="360" w:lineRule="auto"/>
        <w:contextualSpacing/>
        <w:rPr>
          <w:rFonts w:ascii="Verdana" w:hAnsi="Verdana" w:cs="Arial"/>
          <w:b/>
          <w:sz w:val="24"/>
          <w:szCs w:val="24"/>
        </w:rPr>
      </w:pPr>
      <w:r w:rsidRPr="002D04E1">
        <w:rPr>
          <w:rFonts w:ascii="Verdana" w:hAnsi="Verdana" w:cs="Arial"/>
          <w:b/>
          <w:sz w:val="24"/>
          <w:szCs w:val="24"/>
        </w:rPr>
        <w:t>Dane kontaktowe osoby (osób) do kontaktów roboczych (imię i nazwisko, e-mail, nr telefonu):</w:t>
      </w:r>
    </w:p>
    <w:p w14:paraId="0F1E6EC8" w14:textId="618EDB30" w:rsidR="00632873" w:rsidRPr="002D04E1" w:rsidRDefault="00632873" w:rsidP="002E4A90">
      <w:pPr>
        <w:spacing w:before="120" w:after="240" w:line="360" w:lineRule="auto"/>
        <w:contextualSpacing/>
        <w:rPr>
          <w:rFonts w:ascii="Verdana" w:hAnsi="Verdana" w:cs="Arial"/>
          <w:bCs/>
          <w:sz w:val="24"/>
          <w:szCs w:val="24"/>
        </w:rPr>
      </w:pPr>
      <w:r w:rsidRPr="002D04E1">
        <w:rPr>
          <w:rFonts w:ascii="Verdana" w:hAnsi="Verdana" w:cs="Arial"/>
          <w:bCs/>
          <w:sz w:val="24"/>
          <w:szCs w:val="24"/>
        </w:rPr>
        <w:t>Małgorzata Kuś, D</w:t>
      </w:r>
      <w:r w:rsidR="001C0BF9" w:rsidRPr="002D04E1">
        <w:rPr>
          <w:rFonts w:ascii="Verdana" w:hAnsi="Verdana" w:cs="Arial"/>
          <w:bCs/>
          <w:sz w:val="24"/>
          <w:szCs w:val="24"/>
        </w:rPr>
        <w:t xml:space="preserve">epartament </w:t>
      </w:r>
      <w:r w:rsidRPr="002D04E1">
        <w:rPr>
          <w:rFonts w:ascii="Verdana" w:hAnsi="Verdana" w:cs="Arial"/>
          <w:bCs/>
          <w:sz w:val="24"/>
          <w:szCs w:val="24"/>
        </w:rPr>
        <w:t>R</w:t>
      </w:r>
      <w:r w:rsidR="001C0BF9" w:rsidRPr="002D04E1">
        <w:rPr>
          <w:rFonts w:ascii="Verdana" w:hAnsi="Verdana" w:cs="Arial"/>
          <w:bCs/>
          <w:sz w:val="24"/>
          <w:szCs w:val="24"/>
        </w:rPr>
        <w:t>ozwoju Kadr w Przedsiębiorstwach</w:t>
      </w:r>
    </w:p>
    <w:p w14:paraId="1C2E90B5" w14:textId="21EE3D33" w:rsidR="00632873" w:rsidRPr="002D04E1" w:rsidRDefault="00632873" w:rsidP="002E4A90">
      <w:pPr>
        <w:spacing w:before="120" w:after="240" w:line="360" w:lineRule="auto"/>
        <w:contextualSpacing/>
        <w:rPr>
          <w:rFonts w:ascii="Verdana" w:hAnsi="Verdana" w:cs="Arial"/>
          <w:bCs/>
          <w:sz w:val="24"/>
          <w:szCs w:val="24"/>
        </w:rPr>
      </w:pPr>
      <w:r w:rsidRPr="002D04E1">
        <w:rPr>
          <w:rFonts w:ascii="Verdana" w:hAnsi="Verdana" w:cs="Arial"/>
          <w:bCs/>
          <w:sz w:val="24"/>
          <w:szCs w:val="24"/>
        </w:rPr>
        <w:t>malgorzata_kus@parp.gov.pl</w:t>
      </w:r>
    </w:p>
    <w:p w14:paraId="135B1CB1" w14:textId="77777777" w:rsidR="006D0CF7" w:rsidRPr="002D04E1" w:rsidRDefault="006D0CF7" w:rsidP="001F2901">
      <w:pPr>
        <w:pStyle w:val="Nagwek1"/>
        <w:spacing w:before="120" w:after="240"/>
        <w:rPr>
          <w:b w:val="0"/>
        </w:rPr>
      </w:pPr>
      <w:r w:rsidRPr="002D04E1">
        <w:t xml:space="preserve">Fiszka Projektu wybieranego w sposób niekonkurencyjny </w:t>
      </w:r>
    </w:p>
    <w:p w14:paraId="4C449447" w14:textId="7E03D7CB" w:rsidR="006D0CF7" w:rsidRPr="002D04E1" w:rsidRDefault="006D0CF7" w:rsidP="001F2901">
      <w:pPr>
        <w:pStyle w:val="Nagwek2"/>
        <w:rPr>
          <w:b w:val="0"/>
        </w:rPr>
      </w:pPr>
      <w:r w:rsidRPr="002D04E1">
        <w:t>Podstawowe informacje o Projekcie</w:t>
      </w:r>
      <w:r w:rsidR="005B2F6B" w:rsidRPr="002D04E1">
        <w:t>:</w:t>
      </w:r>
    </w:p>
    <w:p w14:paraId="13622CCA" w14:textId="77777777" w:rsidR="002E4A90" w:rsidRPr="002D04E1" w:rsidRDefault="002E4A90" w:rsidP="00A72726">
      <w:pPr>
        <w:spacing w:before="120" w:after="240" w:line="360" w:lineRule="auto"/>
        <w:contextualSpacing/>
        <w:rPr>
          <w:rFonts w:ascii="Verdana" w:hAnsi="Verdana" w:cs="Arial"/>
          <w:bCs/>
          <w:sz w:val="24"/>
          <w:szCs w:val="24"/>
        </w:rPr>
      </w:pPr>
      <w:r w:rsidRPr="002D04E1">
        <w:rPr>
          <w:rFonts w:ascii="Verdana" w:hAnsi="Verdana" w:cs="Arial"/>
          <w:b/>
          <w:sz w:val="24"/>
          <w:szCs w:val="24"/>
        </w:rPr>
        <w:t>Numer i nazwa Priorytetu:</w:t>
      </w:r>
      <w:r w:rsidRPr="002D04E1">
        <w:rPr>
          <w:rFonts w:ascii="Verdana" w:hAnsi="Verdana" w:cs="Arial"/>
          <w:bCs/>
          <w:sz w:val="24"/>
          <w:szCs w:val="24"/>
        </w:rPr>
        <w:t xml:space="preserve"> Priorytet I: Umiejętności </w:t>
      </w:r>
    </w:p>
    <w:p w14:paraId="19B1B23B" w14:textId="4A8CA433" w:rsidR="00107D55" w:rsidRPr="002D04E1" w:rsidRDefault="00107D55" w:rsidP="00A72726">
      <w:pPr>
        <w:spacing w:before="120" w:after="240" w:line="360" w:lineRule="auto"/>
        <w:contextualSpacing/>
        <w:rPr>
          <w:rFonts w:ascii="Verdana" w:hAnsi="Verdana" w:cs="Arial"/>
          <w:b/>
          <w:sz w:val="24"/>
          <w:szCs w:val="24"/>
        </w:rPr>
      </w:pPr>
      <w:r w:rsidRPr="002D04E1">
        <w:rPr>
          <w:rFonts w:ascii="Verdana" w:hAnsi="Verdana" w:cs="Arial"/>
          <w:b/>
          <w:sz w:val="24"/>
          <w:szCs w:val="24"/>
        </w:rPr>
        <w:t>Numer i nazwa działania FERS:</w:t>
      </w:r>
      <w:r w:rsidRPr="002D04E1">
        <w:rPr>
          <w:rFonts w:ascii="Verdana" w:hAnsi="Verdana" w:cs="Arial"/>
          <w:b/>
          <w:sz w:val="24"/>
          <w:szCs w:val="24"/>
        </w:rPr>
        <w:tab/>
      </w:r>
      <w:r w:rsidR="00632873" w:rsidRPr="002D04E1">
        <w:rPr>
          <w:rFonts w:ascii="Verdana" w:hAnsi="Verdana" w:cs="Arial"/>
          <w:bCs/>
          <w:sz w:val="24"/>
          <w:szCs w:val="24"/>
        </w:rPr>
        <w:t xml:space="preserve">Działanie </w:t>
      </w:r>
      <w:r w:rsidR="003324EB" w:rsidRPr="002D04E1">
        <w:rPr>
          <w:rFonts w:ascii="Verdana" w:hAnsi="Verdana" w:cs="Arial"/>
          <w:bCs/>
          <w:sz w:val="24"/>
          <w:szCs w:val="24"/>
        </w:rPr>
        <w:t>0</w:t>
      </w:r>
      <w:r w:rsidR="00632873" w:rsidRPr="002D04E1">
        <w:rPr>
          <w:rFonts w:ascii="Verdana" w:hAnsi="Verdana" w:cs="Arial"/>
          <w:bCs/>
          <w:sz w:val="24"/>
          <w:szCs w:val="24"/>
        </w:rPr>
        <w:t>1.</w:t>
      </w:r>
      <w:r w:rsidR="003324EB" w:rsidRPr="002D04E1">
        <w:rPr>
          <w:rFonts w:ascii="Verdana" w:hAnsi="Verdana" w:cs="Arial"/>
          <w:bCs/>
          <w:sz w:val="24"/>
          <w:szCs w:val="24"/>
        </w:rPr>
        <w:t>0</w:t>
      </w:r>
      <w:r w:rsidR="00632873" w:rsidRPr="002D04E1">
        <w:rPr>
          <w:rFonts w:ascii="Verdana" w:hAnsi="Verdana" w:cs="Arial"/>
          <w:bCs/>
          <w:sz w:val="24"/>
          <w:szCs w:val="24"/>
        </w:rPr>
        <w:t>3 Kadry nowoczesnej gospodarki</w:t>
      </w:r>
    </w:p>
    <w:p w14:paraId="2BA3E606" w14:textId="3754D66A" w:rsidR="00861BDF" w:rsidRPr="002D04E1" w:rsidRDefault="00861BDF" w:rsidP="00861BDF">
      <w:pPr>
        <w:spacing w:before="120" w:after="240" w:line="360" w:lineRule="auto"/>
        <w:contextualSpacing/>
        <w:rPr>
          <w:rFonts w:ascii="Verdana" w:hAnsi="Verdana" w:cstheme="minorHAnsi"/>
          <w:b/>
          <w:sz w:val="24"/>
          <w:szCs w:val="24"/>
        </w:rPr>
      </w:pPr>
      <w:r w:rsidRPr="002D04E1">
        <w:rPr>
          <w:rFonts w:ascii="Verdana" w:hAnsi="Verdana" w:cstheme="minorHAnsi"/>
          <w:b/>
          <w:sz w:val="24"/>
          <w:szCs w:val="24"/>
        </w:rPr>
        <w:t xml:space="preserve">Cel szczegółowy, w ramach którego projekt będzie realizowany: </w:t>
      </w:r>
    </w:p>
    <w:p w14:paraId="11606F95" w14:textId="4CB27926" w:rsidR="006D0CF7" w:rsidRPr="002D04E1" w:rsidRDefault="00861BDF" w:rsidP="00F85B68">
      <w:pPr>
        <w:spacing w:before="120" w:after="240" w:line="360" w:lineRule="auto"/>
        <w:contextualSpacing/>
        <w:rPr>
          <w:rFonts w:ascii="Verdana" w:hAnsi="Verdana" w:cs="Arial"/>
          <w:bCs/>
          <w:sz w:val="24"/>
          <w:szCs w:val="24"/>
        </w:rPr>
      </w:pPr>
      <w:r w:rsidRPr="002D04E1">
        <w:rPr>
          <w:rFonts w:ascii="Verdana" w:hAnsi="Verdana" w:cs="Arial"/>
          <w:bCs/>
          <w:sz w:val="24"/>
          <w:szCs w:val="24"/>
        </w:rPr>
        <w:t>d) Wspieranie dostosowania pracowników, przedsiębiorstw i przedsiębiorców do zmian, wspieranie aktywnego i zdrowego starzenia się oraz zdrowego i dobrze dostosowanego środowiska pracy, które uwzględnia zagrożenia dla zdrowia</w:t>
      </w:r>
    </w:p>
    <w:p w14:paraId="732CD04C" w14:textId="734AB380" w:rsidR="00632873" w:rsidRPr="002D04E1" w:rsidRDefault="00107D55" w:rsidP="00F85B68">
      <w:pPr>
        <w:spacing w:before="120" w:after="240" w:line="360" w:lineRule="auto"/>
        <w:contextualSpacing/>
        <w:rPr>
          <w:rFonts w:ascii="Verdana" w:hAnsi="Verdana" w:cs="Arial"/>
          <w:bCs/>
          <w:sz w:val="24"/>
          <w:szCs w:val="24"/>
        </w:rPr>
      </w:pPr>
      <w:r w:rsidRPr="002D04E1">
        <w:rPr>
          <w:rFonts w:ascii="Verdana" w:hAnsi="Verdana" w:cs="Arial"/>
          <w:b/>
          <w:sz w:val="24"/>
          <w:szCs w:val="24"/>
        </w:rPr>
        <w:lastRenderedPageBreak/>
        <w:t>Typ projekt</w:t>
      </w:r>
      <w:r w:rsidR="006D0CF7" w:rsidRPr="002D04E1">
        <w:rPr>
          <w:rFonts w:ascii="Verdana" w:hAnsi="Verdana" w:cs="Arial"/>
          <w:b/>
          <w:sz w:val="24"/>
          <w:szCs w:val="24"/>
        </w:rPr>
        <w:t>u</w:t>
      </w:r>
      <w:r w:rsidRPr="002E122B">
        <w:rPr>
          <w:rFonts w:ascii="Verdana" w:hAnsi="Verdana" w:cs="Arial"/>
          <w:b/>
          <w:sz w:val="24"/>
          <w:szCs w:val="24"/>
        </w:rPr>
        <w:t xml:space="preserve"> FERS:</w:t>
      </w:r>
      <w:r w:rsidR="00A72726" w:rsidRPr="002D04E1">
        <w:rPr>
          <w:rFonts w:ascii="Verdana" w:hAnsi="Verdana" w:cs="Arial"/>
          <w:b/>
          <w:sz w:val="24"/>
          <w:szCs w:val="24"/>
        </w:rPr>
        <w:t xml:space="preserve"> </w:t>
      </w:r>
      <w:r w:rsidR="00632873" w:rsidRPr="002D04E1">
        <w:rPr>
          <w:rFonts w:ascii="Verdana" w:hAnsi="Verdana" w:cs="Arial"/>
          <w:bCs/>
          <w:sz w:val="24"/>
          <w:szCs w:val="24"/>
        </w:rPr>
        <w:t>Działania szkoleniowe i doradcze dla pracowników przedsiębiorstw i innych pracodawców, realizowane w obszarach kluczowych dla rozwoju społeczno-gospodarczego kraju:</w:t>
      </w:r>
    </w:p>
    <w:p w14:paraId="1FD480DB" w14:textId="2C3CA150" w:rsidR="00107D55" w:rsidRPr="002D04E1" w:rsidRDefault="00632873" w:rsidP="00A52C6C">
      <w:pPr>
        <w:spacing w:before="240" w:after="240" w:line="360" w:lineRule="auto"/>
        <w:contextualSpacing/>
        <w:rPr>
          <w:rFonts w:ascii="Verdana" w:hAnsi="Verdana" w:cs="Arial"/>
          <w:bCs/>
          <w:sz w:val="24"/>
          <w:szCs w:val="24"/>
        </w:rPr>
      </w:pPr>
      <w:r w:rsidRPr="002D04E1">
        <w:rPr>
          <w:rFonts w:ascii="Verdana" w:hAnsi="Verdana" w:cs="Arial"/>
          <w:bCs/>
          <w:sz w:val="24"/>
          <w:szCs w:val="24"/>
        </w:rPr>
        <w:t>a) dostosowanie przedsiębiorstw do zmian/radzenie sobie w trudnościach</w:t>
      </w:r>
    </w:p>
    <w:p w14:paraId="5368D007" w14:textId="77777777" w:rsidR="00632873" w:rsidRPr="002D04E1" w:rsidRDefault="00107D55" w:rsidP="001F2901">
      <w:pPr>
        <w:pStyle w:val="Nagwek2"/>
        <w:rPr>
          <w:bCs/>
        </w:rPr>
      </w:pPr>
      <w:r w:rsidRPr="002D04E1">
        <w:rPr>
          <w:rStyle w:val="Nagwek2Znak"/>
          <w:b/>
          <w:bCs/>
        </w:rPr>
        <w:t>Podmiot, który będzie wnioskodawcą</w:t>
      </w:r>
      <w:r w:rsidRPr="002D04E1">
        <w:rPr>
          <w:rStyle w:val="Nagwek2Znak"/>
        </w:rPr>
        <w:t>:</w:t>
      </w:r>
      <w:r w:rsidR="00632873" w:rsidRPr="002D04E1">
        <w:t xml:space="preserve"> </w:t>
      </w:r>
      <w:r w:rsidR="00632873" w:rsidRPr="005D3F39">
        <w:rPr>
          <w:b w:val="0"/>
          <w:bCs/>
          <w:sz w:val="24"/>
          <w:szCs w:val="24"/>
        </w:rPr>
        <w:t xml:space="preserve">Polska Agencja Rozwoju Przedsiębiorczości </w:t>
      </w:r>
    </w:p>
    <w:p w14:paraId="1FF8088B" w14:textId="79B03B62" w:rsidR="00A72726" w:rsidRPr="002D04E1" w:rsidRDefault="00A72726" w:rsidP="001F2901">
      <w:pPr>
        <w:pStyle w:val="Nagwek2"/>
        <w:spacing w:before="120" w:after="240"/>
      </w:pPr>
      <w:r w:rsidRPr="002D04E1">
        <w:t>Cel i opis projektu (w tym uzasadnienie realizacji i planowana trwałość)</w:t>
      </w:r>
      <w:r w:rsidR="00A52C6C" w:rsidRPr="002D04E1">
        <w:t>:</w:t>
      </w:r>
    </w:p>
    <w:p w14:paraId="3B2AE3A8" w14:textId="72D96A66" w:rsidR="00A72726" w:rsidRPr="002D04E1" w:rsidRDefault="00A72726" w:rsidP="00530D9C">
      <w:pPr>
        <w:spacing w:before="120" w:after="120" w:line="360" w:lineRule="auto"/>
        <w:rPr>
          <w:rFonts w:ascii="Verdana" w:hAnsi="Verdana" w:cs="Arial"/>
          <w:bCs/>
          <w:sz w:val="24"/>
          <w:szCs w:val="24"/>
          <w:highlight w:val="yellow"/>
        </w:rPr>
      </w:pPr>
      <w:r w:rsidRPr="002D04E1">
        <w:rPr>
          <w:rFonts w:ascii="Verdana" w:hAnsi="Verdana" w:cs="Arial"/>
          <w:bCs/>
          <w:sz w:val="24"/>
          <w:szCs w:val="24"/>
        </w:rPr>
        <w:t>Cel</w:t>
      </w:r>
      <w:r w:rsidR="00A52C6C" w:rsidRPr="002D04E1">
        <w:rPr>
          <w:rFonts w:ascii="Verdana" w:hAnsi="Verdana" w:cs="Arial"/>
          <w:bCs/>
          <w:sz w:val="24"/>
          <w:szCs w:val="24"/>
        </w:rPr>
        <w:t>em</w:t>
      </w:r>
      <w:r w:rsidRPr="002D04E1">
        <w:rPr>
          <w:rFonts w:ascii="Verdana" w:hAnsi="Verdana" w:cs="Arial"/>
          <w:bCs/>
          <w:sz w:val="24"/>
          <w:szCs w:val="24"/>
        </w:rPr>
        <w:t xml:space="preserve"> projektu</w:t>
      </w:r>
      <w:r w:rsidR="00A52C6C" w:rsidRPr="002D04E1">
        <w:rPr>
          <w:rFonts w:ascii="Verdana" w:hAnsi="Verdana" w:cs="Arial"/>
          <w:bCs/>
          <w:sz w:val="24"/>
          <w:szCs w:val="24"/>
        </w:rPr>
        <w:t xml:space="preserve"> jest </w:t>
      </w:r>
      <w:r w:rsidRPr="002D04E1">
        <w:rPr>
          <w:rFonts w:ascii="Verdana" w:hAnsi="Verdana" w:cs="Arial"/>
          <w:bCs/>
          <w:sz w:val="24"/>
          <w:szCs w:val="24"/>
        </w:rPr>
        <w:t xml:space="preserve">wdrożenie systemu wsparcia dla przedsiębiorców w trudnościach metodą mentoringu. </w:t>
      </w:r>
    </w:p>
    <w:p w14:paraId="2E5E0CDF" w14:textId="2B72982B" w:rsidR="00861BDF" w:rsidRPr="002D04E1" w:rsidRDefault="00A72726" w:rsidP="00530D9C">
      <w:pPr>
        <w:spacing w:before="120" w:after="120" w:line="360" w:lineRule="auto"/>
        <w:rPr>
          <w:rFonts w:ascii="Verdana" w:hAnsi="Verdana"/>
          <w:sz w:val="24"/>
          <w:szCs w:val="24"/>
          <w:lang w:eastAsia="pl-PL"/>
        </w:rPr>
      </w:pPr>
      <w:r w:rsidRPr="002D04E1">
        <w:rPr>
          <w:rFonts w:ascii="Verdana" w:hAnsi="Verdana" w:cs="Arial"/>
          <w:bCs/>
          <w:sz w:val="24"/>
          <w:szCs w:val="24"/>
        </w:rPr>
        <w:t xml:space="preserve">Interwencja publiczna jest następstwem projektu pn.: „Mentoring dla firm w trudnościach jako metoda podnoszenia kompetencji przedsiębiorczych”, FERS.01.03-IP.09-0041/23, okres realizacji: 01.01.2024-30.06.2025. </w:t>
      </w:r>
      <w:r w:rsidR="00564258" w:rsidRPr="002D04E1">
        <w:rPr>
          <w:rFonts w:ascii="Verdana" w:hAnsi="Verdana" w:cs="Arial"/>
          <w:bCs/>
          <w:sz w:val="24"/>
          <w:szCs w:val="24"/>
        </w:rPr>
        <w:br/>
      </w:r>
      <w:r w:rsidRPr="002D04E1">
        <w:rPr>
          <w:rFonts w:ascii="Verdana" w:hAnsi="Verdana" w:cs="Arial"/>
          <w:bCs/>
          <w:sz w:val="24"/>
          <w:szCs w:val="24"/>
        </w:rPr>
        <w:t>W ramach tego projektu</w:t>
      </w:r>
      <w:r w:rsidR="00835CE4" w:rsidRPr="002D04E1">
        <w:rPr>
          <w:rFonts w:ascii="Verdana" w:hAnsi="Verdana" w:cs="Arial"/>
          <w:bCs/>
          <w:sz w:val="24"/>
          <w:szCs w:val="24"/>
        </w:rPr>
        <w:t xml:space="preserve"> dokonano przeglądu sposobu organizacji systemu wsparcia przedsiębiorców w trudnościach metodą mentoringu </w:t>
      </w:r>
      <w:r w:rsidR="003607E5" w:rsidRPr="002D04E1">
        <w:rPr>
          <w:rFonts w:ascii="Verdana" w:hAnsi="Verdana"/>
          <w:sz w:val="24"/>
          <w:szCs w:val="24"/>
          <w:lang w:eastAsia="pl-PL"/>
        </w:rPr>
        <w:t>w 17 krajach Europy, deklarujących realizację tego typu wsparcia</w:t>
      </w:r>
      <w:r w:rsidR="00AB2360" w:rsidRPr="002D04E1">
        <w:rPr>
          <w:rFonts w:ascii="Verdana" w:hAnsi="Verdana"/>
          <w:sz w:val="24"/>
          <w:szCs w:val="24"/>
          <w:lang w:eastAsia="pl-PL"/>
        </w:rPr>
        <w:t>. Na bazie zgromadzonej wiedzy oraz doświadczeń własnych z realizacji projekt</w:t>
      </w:r>
      <w:r w:rsidR="008D524A" w:rsidRPr="002D04E1">
        <w:rPr>
          <w:rFonts w:ascii="Verdana" w:hAnsi="Verdana"/>
          <w:sz w:val="24"/>
          <w:szCs w:val="24"/>
          <w:lang w:eastAsia="pl-PL"/>
        </w:rPr>
        <w:t>ów</w:t>
      </w:r>
      <w:r w:rsidR="00AB2360" w:rsidRPr="002D04E1">
        <w:rPr>
          <w:rFonts w:ascii="Verdana" w:hAnsi="Verdana"/>
          <w:sz w:val="24"/>
          <w:szCs w:val="24"/>
          <w:lang w:eastAsia="pl-PL"/>
        </w:rPr>
        <w:t xml:space="preserve"> </w:t>
      </w:r>
      <w:r w:rsidR="00AB2360" w:rsidRPr="002D04E1">
        <w:rPr>
          <w:rFonts w:ascii="Verdana" w:hAnsi="Verdana"/>
          <w:sz w:val="24"/>
          <w:szCs w:val="24"/>
          <w:lang w:eastAsia="pl-PL"/>
        </w:rPr>
        <w:br/>
        <w:t>pn</w:t>
      </w:r>
      <w:r w:rsidR="005D3F39">
        <w:rPr>
          <w:rFonts w:ascii="Verdana" w:hAnsi="Verdana"/>
          <w:sz w:val="24"/>
          <w:szCs w:val="24"/>
          <w:lang w:eastAsia="pl-PL"/>
        </w:rPr>
        <w:t>.</w:t>
      </w:r>
      <w:r w:rsidR="00AB2360" w:rsidRPr="002D04E1">
        <w:rPr>
          <w:rFonts w:ascii="Verdana" w:hAnsi="Verdana"/>
          <w:sz w:val="24"/>
          <w:szCs w:val="24"/>
          <w:lang w:eastAsia="pl-PL"/>
        </w:rPr>
        <w:t xml:space="preserve">: „Early Warning Europe”, </w:t>
      </w:r>
      <w:r w:rsidR="008D524A" w:rsidRPr="002D04E1">
        <w:rPr>
          <w:rFonts w:ascii="Verdana" w:hAnsi="Verdana"/>
          <w:sz w:val="24"/>
          <w:szCs w:val="24"/>
          <w:lang w:eastAsia="pl-PL"/>
        </w:rPr>
        <w:t>(2016-2019, COSME) oraz „System wczesnego ostrzegania MMŚP w okresowych trudnościach” (2021-2023 PO</w:t>
      </w:r>
      <w:r w:rsidR="00C52F79" w:rsidRPr="002D04E1">
        <w:rPr>
          <w:rFonts w:ascii="Verdana" w:hAnsi="Verdana"/>
          <w:sz w:val="24"/>
          <w:szCs w:val="24"/>
          <w:lang w:eastAsia="pl-PL"/>
        </w:rPr>
        <w:t xml:space="preserve"> </w:t>
      </w:r>
      <w:r w:rsidR="008D524A" w:rsidRPr="002D04E1">
        <w:rPr>
          <w:rFonts w:ascii="Verdana" w:hAnsi="Verdana"/>
          <w:sz w:val="24"/>
          <w:szCs w:val="24"/>
          <w:lang w:eastAsia="pl-PL"/>
        </w:rPr>
        <w:t xml:space="preserve">WER), </w:t>
      </w:r>
      <w:r w:rsidR="002C571D" w:rsidRPr="002D04E1">
        <w:rPr>
          <w:rFonts w:ascii="Verdana" w:hAnsi="Verdana"/>
          <w:sz w:val="24"/>
          <w:szCs w:val="24"/>
          <w:lang w:eastAsia="pl-PL"/>
        </w:rPr>
        <w:t xml:space="preserve">dokonano analizy możliwego modelu funkcjonowania wsparcia w formie mentoringu w Polsce oraz </w:t>
      </w:r>
      <w:r w:rsidR="00AB2360" w:rsidRPr="002D04E1">
        <w:rPr>
          <w:rFonts w:ascii="Verdana" w:hAnsi="Verdana"/>
          <w:sz w:val="24"/>
          <w:szCs w:val="24"/>
          <w:lang w:eastAsia="pl-PL"/>
        </w:rPr>
        <w:t>przygotowano proponowan</w:t>
      </w:r>
      <w:r w:rsidR="00864446">
        <w:rPr>
          <w:rFonts w:ascii="Verdana" w:hAnsi="Verdana"/>
          <w:sz w:val="24"/>
          <w:szCs w:val="24"/>
          <w:lang w:eastAsia="pl-PL"/>
        </w:rPr>
        <w:t xml:space="preserve">e </w:t>
      </w:r>
      <w:r w:rsidR="00F35853">
        <w:rPr>
          <w:rFonts w:ascii="Verdana" w:hAnsi="Verdana"/>
          <w:sz w:val="24"/>
          <w:szCs w:val="24"/>
          <w:lang w:eastAsia="pl-PL"/>
        </w:rPr>
        <w:t>rozwiązanie.</w:t>
      </w:r>
      <w:r w:rsidR="00AB2360" w:rsidRPr="002D04E1">
        <w:rPr>
          <w:rFonts w:ascii="Verdana" w:hAnsi="Verdana"/>
          <w:sz w:val="24"/>
          <w:szCs w:val="24"/>
          <w:lang w:eastAsia="pl-PL"/>
        </w:rPr>
        <w:t xml:space="preserve"> Zainteresowanie przedsiębiorców tą metodą wsparcia oraz wyniki przeprowadzonego </w:t>
      </w:r>
      <w:r w:rsidR="0001213F">
        <w:rPr>
          <w:rFonts w:ascii="Verdana" w:hAnsi="Verdana"/>
          <w:sz w:val="24"/>
          <w:szCs w:val="24"/>
          <w:lang w:eastAsia="pl-PL"/>
        </w:rPr>
        <w:t xml:space="preserve">projektu </w:t>
      </w:r>
      <w:r w:rsidR="00AB2360" w:rsidRPr="002D04E1">
        <w:rPr>
          <w:rFonts w:ascii="Verdana" w:hAnsi="Verdana"/>
          <w:sz w:val="24"/>
          <w:szCs w:val="24"/>
          <w:lang w:eastAsia="pl-PL"/>
        </w:rPr>
        <w:t xml:space="preserve">będą podstawą decyzji o wdrożeniu metody </w:t>
      </w:r>
      <w:r w:rsidR="0000582C" w:rsidRPr="002D04E1">
        <w:rPr>
          <w:rFonts w:ascii="Verdana" w:hAnsi="Verdana"/>
          <w:sz w:val="24"/>
          <w:szCs w:val="24"/>
          <w:lang w:eastAsia="pl-PL"/>
        </w:rPr>
        <w:t xml:space="preserve">mentoringu </w:t>
      </w:r>
      <w:r w:rsidR="00AB2360" w:rsidRPr="002D04E1">
        <w:rPr>
          <w:rFonts w:ascii="Verdana" w:hAnsi="Verdana"/>
          <w:sz w:val="24"/>
          <w:szCs w:val="24"/>
          <w:lang w:eastAsia="pl-PL"/>
        </w:rPr>
        <w:t xml:space="preserve">w system wsparcia MŚP w Polsce. </w:t>
      </w:r>
    </w:p>
    <w:p w14:paraId="5034A704" w14:textId="5F172B36" w:rsidR="00C52F79" w:rsidRPr="002D04E1" w:rsidRDefault="00C52F79"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Realizacja niniejszego projektu odpowiada na potrzebę wzmocnienia kompetencji przedsiębiorczych polskich firm w zakresie umiejętności odnajdywania się w warunkach dynamicznych zmian sytuacji społeczno-gospodarczej. Doświadczenie COVID-19 oraz oznaki kryzysu na światowych rynkach wywołane brakiem stabilnej sytuacji - w obliczu </w:t>
      </w:r>
      <w:r w:rsidRPr="002D04E1">
        <w:rPr>
          <w:rFonts w:ascii="Verdana" w:hAnsi="Verdana" w:cs="Arial"/>
          <w:bCs/>
          <w:sz w:val="24"/>
          <w:szCs w:val="24"/>
        </w:rPr>
        <w:lastRenderedPageBreak/>
        <w:t xml:space="preserve">wojen, zmian klimatycznych, ruchów migracyjnych - wskazują jak ważna jest umiejętność reagowania na zmieniające się warunki prowadzenia działalności gospodarczej. </w:t>
      </w:r>
    </w:p>
    <w:p w14:paraId="38BDBB31" w14:textId="48728D13" w:rsidR="00C52F79" w:rsidRPr="002D04E1" w:rsidRDefault="00C52F79" w:rsidP="00530D9C">
      <w:pPr>
        <w:spacing w:before="120" w:after="120" w:line="360" w:lineRule="auto"/>
        <w:rPr>
          <w:rFonts w:ascii="Verdana" w:hAnsi="Verdana" w:cs="Arial"/>
          <w:bCs/>
          <w:sz w:val="24"/>
          <w:szCs w:val="24"/>
        </w:rPr>
      </w:pPr>
      <w:r w:rsidRPr="002D04E1">
        <w:rPr>
          <w:rFonts w:ascii="Verdana" w:hAnsi="Verdana" w:cs="Arial"/>
          <w:bCs/>
          <w:sz w:val="24"/>
          <w:szCs w:val="24"/>
        </w:rPr>
        <w:t>Rok 2023 w Polsce został uznany za rekordowy pod względem liczby upadłości i niewypłacalności firm w badaniu „Niewypłacalność firm w Polsce. Analiza rekordowego roku 2023 i wskazówki na rok 2024” przygotowanym przez firmę doradczą EY</w:t>
      </w:r>
      <w:r w:rsidRPr="002D04E1">
        <w:rPr>
          <w:rStyle w:val="Odwoanieprzypisudolnego"/>
          <w:rFonts w:ascii="Verdana" w:hAnsi="Verdana" w:cs="Arial"/>
          <w:bCs/>
          <w:sz w:val="24"/>
          <w:szCs w:val="24"/>
        </w:rPr>
        <w:footnoteReference w:id="1"/>
      </w:r>
      <w:r w:rsidRPr="002D04E1">
        <w:rPr>
          <w:rFonts w:ascii="Verdana" w:hAnsi="Verdana" w:cs="Arial"/>
          <w:bCs/>
          <w:sz w:val="24"/>
          <w:szCs w:val="24"/>
        </w:rPr>
        <w:t>. W ciągu 2023 r. ogłoszono 4,7 tys. upadłości bądź restrukturyzacji. Rok 2023 także był rekordowym pod względem wydanych decyzji o upadłości konsumenckiej. W 2023 r. ogłoszono upadłość konsumencką w stosunku do 21 tys. osób, w tym 2,2 tys. osób przed ogłoszeniem upadłości zakończyło działalność gospodarczą</w:t>
      </w:r>
      <w:r w:rsidRPr="002D04E1">
        <w:rPr>
          <w:rStyle w:val="Odwoanieprzypisudolnego"/>
          <w:rFonts w:ascii="Verdana" w:hAnsi="Verdana" w:cs="Arial"/>
          <w:bCs/>
          <w:sz w:val="24"/>
          <w:szCs w:val="24"/>
        </w:rPr>
        <w:footnoteReference w:id="2"/>
      </w:r>
      <w:r w:rsidRPr="002D04E1">
        <w:rPr>
          <w:rFonts w:ascii="Verdana" w:hAnsi="Verdana" w:cs="Arial"/>
          <w:bCs/>
          <w:sz w:val="24"/>
          <w:szCs w:val="24"/>
        </w:rPr>
        <w:t xml:space="preserve"> (wskazują na to analizy Centralnego Ośrodka Informacji Gospodarczej dotyczące ogłoszeń w Monitorze Sądowym i Gospodarczym oraz Krajowym Rejestrze Zadłużonych).</w:t>
      </w:r>
      <w:r w:rsidR="00564258" w:rsidRPr="002D04E1">
        <w:rPr>
          <w:rFonts w:ascii="Verdana" w:hAnsi="Verdana" w:cs="Arial"/>
          <w:bCs/>
          <w:sz w:val="24"/>
          <w:szCs w:val="24"/>
        </w:rPr>
        <w:t xml:space="preserve"> </w:t>
      </w:r>
      <w:r w:rsidRPr="002D04E1">
        <w:rPr>
          <w:rFonts w:ascii="Verdana" w:hAnsi="Verdana" w:cs="Arial"/>
          <w:bCs/>
          <w:sz w:val="24"/>
          <w:szCs w:val="24"/>
        </w:rPr>
        <w:t xml:space="preserve">Konsekwencje trudności w firmie, ostatecznie objawiające się niewypłacalnością, są rozległe: </w:t>
      </w:r>
    </w:p>
    <w:p w14:paraId="61C31732" w14:textId="77777777" w:rsidR="00C52F79" w:rsidRPr="002E122B" w:rsidRDefault="00C52F79" w:rsidP="00530D9C">
      <w:pPr>
        <w:pStyle w:val="Akapitzlist"/>
        <w:numPr>
          <w:ilvl w:val="0"/>
          <w:numId w:val="17"/>
        </w:numPr>
        <w:spacing w:before="120" w:after="120" w:line="360" w:lineRule="auto"/>
        <w:ind w:left="426"/>
        <w:contextualSpacing w:val="0"/>
        <w:rPr>
          <w:rFonts w:ascii="Verdana" w:hAnsi="Verdana"/>
          <w:sz w:val="24"/>
          <w:szCs w:val="24"/>
        </w:rPr>
      </w:pPr>
      <w:r w:rsidRPr="002D04E1">
        <w:rPr>
          <w:rFonts w:ascii="Verdana" w:hAnsi="Verdana" w:cs="Arial"/>
          <w:bCs/>
          <w:sz w:val="24"/>
          <w:szCs w:val="24"/>
        </w:rPr>
        <w:t>Dotykają one samo przedsiębiorstwo, które może zostać zmuszone do restrukturyzacji lub likwidacji. Pracownicy takich firm tracą zatrudnienie, co bezpośrednio wpływa na wzrost bezrobocia, obniżenie standardów życiowych oraz wyższe koszty świadczeń pomocy społecznej</w:t>
      </w:r>
      <w:r w:rsidRPr="002E122B">
        <w:rPr>
          <w:rFonts w:ascii="Verdana" w:hAnsi="Verdana"/>
          <w:sz w:val="24"/>
          <w:szCs w:val="24"/>
        </w:rPr>
        <w:t>.</w:t>
      </w:r>
    </w:p>
    <w:p w14:paraId="145DD58C" w14:textId="4080224B" w:rsidR="00C52F79" w:rsidRPr="002D04E1" w:rsidRDefault="00C52F79" w:rsidP="00530D9C">
      <w:pPr>
        <w:pStyle w:val="Akapitzlist"/>
        <w:numPr>
          <w:ilvl w:val="0"/>
          <w:numId w:val="17"/>
        </w:numPr>
        <w:spacing w:before="120" w:after="120" w:line="360" w:lineRule="auto"/>
        <w:ind w:left="425" w:hanging="357"/>
        <w:contextualSpacing w:val="0"/>
        <w:rPr>
          <w:rFonts w:ascii="Verdana" w:hAnsi="Verdana" w:cs="Arial"/>
          <w:bCs/>
          <w:sz w:val="24"/>
          <w:szCs w:val="24"/>
        </w:rPr>
      </w:pPr>
      <w:r w:rsidRPr="002D04E1">
        <w:rPr>
          <w:rFonts w:ascii="Verdana" w:hAnsi="Verdana" w:cs="Arial"/>
          <w:bCs/>
          <w:sz w:val="24"/>
          <w:szCs w:val="24"/>
        </w:rPr>
        <w:t>Wpływają również na łańcuch dostaw. Wierzyciele i kontrahenci nie otrzymują należności</w:t>
      </w:r>
      <w:r w:rsidR="00AC16B6">
        <w:rPr>
          <w:rFonts w:ascii="Verdana" w:hAnsi="Verdana" w:cs="Arial"/>
          <w:bCs/>
          <w:sz w:val="24"/>
          <w:szCs w:val="24"/>
        </w:rPr>
        <w:t>,</w:t>
      </w:r>
      <w:r w:rsidRPr="002D04E1">
        <w:rPr>
          <w:rFonts w:ascii="Verdana" w:hAnsi="Verdana" w:cs="Arial"/>
          <w:bCs/>
          <w:sz w:val="24"/>
          <w:szCs w:val="24"/>
        </w:rPr>
        <w:t xml:space="preserve"> a klienci towarów lub usług, co może prowadzić do efektu domina i dalszych upadłości, zarówno na rynku krajowym, jak i europejskim w przypadku firm działających globalnie. Każdego roku ponad 200 tysięcy przedsiębiorstw w UE staje w obliczu niewypłacalności, a 1,7 miliona miejsc pracy jest likwidowanych</w:t>
      </w:r>
      <w:r w:rsidRPr="002D04E1">
        <w:rPr>
          <w:rStyle w:val="Odwoanieprzypisudolnego"/>
          <w:rFonts w:ascii="Verdana" w:hAnsi="Verdana" w:cs="Arial"/>
          <w:bCs/>
          <w:sz w:val="24"/>
          <w:szCs w:val="24"/>
        </w:rPr>
        <w:footnoteReference w:id="3"/>
      </w:r>
      <w:r w:rsidRPr="002D04E1">
        <w:rPr>
          <w:rFonts w:ascii="Verdana" w:hAnsi="Verdana" w:cs="Arial"/>
          <w:bCs/>
          <w:sz w:val="24"/>
          <w:szCs w:val="24"/>
        </w:rPr>
        <w:t xml:space="preserve">. Co więcej, ryzyko bankructwa jest tym, czego Europejczycy najbardziej obawiają się zakładając nową firmę: 43% Europejczyków nie </w:t>
      </w:r>
      <w:r w:rsidRPr="002D04E1">
        <w:rPr>
          <w:rFonts w:ascii="Verdana" w:hAnsi="Verdana" w:cs="Arial"/>
          <w:bCs/>
          <w:sz w:val="24"/>
          <w:szCs w:val="24"/>
        </w:rPr>
        <w:lastRenderedPageBreak/>
        <w:t>założyłoby firmy, gdyby groziło jej niepowodzenie, w porównaniu do zaledwie 19% w Stanach Zjednoczonych</w:t>
      </w:r>
      <w:r w:rsidRPr="002D04E1">
        <w:rPr>
          <w:rStyle w:val="Odwoanieprzypisudolnego"/>
          <w:rFonts w:ascii="Verdana" w:hAnsi="Verdana" w:cs="Arial"/>
          <w:bCs/>
          <w:sz w:val="24"/>
          <w:szCs w:val="24"/>
        </w:rPr>
        <w:footnoteReference w:id="4"/>
      </w:r>
      <w:r w:rsidRPr="002D04E1">
        <w:rPr>
          <w:rFonts w:ascii="Verdana" w:hAnsi="Verdana" w:cs="Arial"/>
          <w:bCs/>
          <w:sz w:val="24"/>
          <w:szCs w:val="24"/>
        </w:rPr>
        <w:t>. Bussines Confidence Index 2024, przygotowywany przez OECD</w:t>
      </w:r>
      <w:r w:rsidR="00AC16B6">
        <w:rPr>
          <w:rFonts w:ascii="Verdana" w:hAnsi="Verdana" w:cs="Arial"/>
          <w:bCs/>
          <w:sz w:val="24"/>
          <w:szCs w:val="24"/>
        </w:rPr>
        <w:t>,</w:t>
      </w:r>
      <w:r w:rsidRPr="002D04E1">
        <w:rPr>
          <w:rFonts w:ascii="Verdana" w:hAnsi="Verdana" w:cs="Arial"/>
          <w:bCs/>
          <w:sz w:val="24"/>
          <w:szCs w:val="24"/>
        </w:rPr>
        <w:t xml:space="preserve"> potwierdza istotny spadek wiarygodności biznesu w 2023 r. </w:t>
      </w:r>
    </w:p>
    <w:p w14:paraId="5DDA99EB" w14:textId="77777777" w:rsidR="00965545" w:rsidRPr="002E122B" w:rsidRDefault="00965545" w:rsidP="00530D9C">
      <w:pPr>
        <w:spacing w:before="120" w:after="120" w:line="360" w:lineRule="auto"/>
        <w:rPr>
          <w:rFonts w:ascii="Verdana" w:hAnsi="Verdana" w:cs="Arial"/>
          <w:bCs/>
          <w:sz w:val="24"/>
          <w:szCs w:val="24"/>
        </w:rPr>
      </w:pPr>
      <w:r w:rsidRPr="002E122B">
        <w:rPr>
          <w:rFonts w:ascii="Verdana" w:hAnsi="Verdana" w:cs="Arial"/>
          <w:bCs/>
          <w:sz w:val="24"/>
          <w:szCs w:val="24"/>
        </w:rPr>
        <w:t xml:space="preserve">Powyższe dane pokazują, że konieczne jest podejmowanie działań, których celem jest wspieranie przedsiębiorców w dobie światowej recesji gospodarczej. </w:t>
      </w:r>
    </w:p>
    <w:p w14:paraId="264FBF03" w14:textId="77777777" w:rsidR="00965545" w:rsidRPr="002E122B" w:rsidRDefault="00965545" w:rsidP="00530D9C">
      <w:pPr>
        <w:spacing w:before="120" w:after="120" w:line="360" w:lineRule="auto"/>
        <w:rPr>
          <w:rFonts w:ascii="Verdana" w:hAnsi="Verdana" w:cs="Arial"/>
          <w:bCs/>
          <w:sz w:val="24"/>
          <w:szCs w:val="24"/>
          <w:u w:val="single"/>
        </w:rPr>
      </w:pPr>
      <w:r w:rsidRPr="002E122B">
        <w:rPr>
          <w:rFonts w:ascii="Verdana" w:hAnsi="Verdana" w:cs="Arial"/>
          <w:bCs/>
          <w:sz w:val="24"/>
          <w:szCs w:val="24"/>
          <w:u w:val="single"/>
        </w:rPr>
        <w:t>Mentoring i LLL w projekcie:</w:t>
      </w:r>
    </w:p>
    <w:p w14:paraId="5C5FAC7B" w14:textId="77777777" w:rsidR="00965545" w:rsidRPr="002E122B" w:rsidRDefault="00965545" w:rsidP="00530D9C">
      <w:pPr>
        <w:spacing w:before="120" w:after="120" w:line="360" w:lineRule="auto"/>
        <w:rPr>
          <w:rFonts w:ascii="Verdana" w:hAnsi="Verdana" w:cs="Arial"/>
          <w:bCs/>
          <w:sz w:val="24"/>
          <w:szCs w:val="24"/>
        </w:rPr>
      </w:pPr>
      <w:r w:rsidRPr="002E122B">
        <w:rPr>
          <w:rFonts w:ascii="Verdana" w:hAnsi="Verdana" w:cs="Arial"/>
          <w:bCs/>
          <w:sz w:val="24"/>
          <w:szCs w:val="24"/>
        </w:rPr>
        <w:t xml:space="preserve">Proponowany system wsparcia przedsiębiorców w trudnościach będzie realizowany z wykorzystaniem metody mentoringu. Konkurencyjny i globalny charakter przepływu informacji, zmiany w biznesie oraz nowe modele podejmowania decyzji wymagają od wszystkich aktywnego i ciągłego uczenia się. </w:t>
      </w:r>
    </w:p>
    <w:p w14:paraId="531FCAEE" w14:textId="6D9AE226" w:rsidR="00965545" w:rsidRPr="002D04E1" w:rsidRDefault="00965545" w:rsidP="00530D9C">
      <w:pPr>
        <w:spacing w:before="120" w:after="120" w:line="360" w:lineRule="auto"/>
        <w:rPr>
          <w:rFonts w:ascii="Verdana" w:hAnsi="Verdana" w:cs="Arial"/>
          <w:bCs/>
          <w:sz w:val="24"/>
          <w:szCs w:val="24"/>
        </w:rPr>
      </w:pPr>
      <w:r w:rsidRPr="002D04E1">
        <w:rPr>
          <w:rFonts w:ascii="Verdana" w:hAnsi="Verdana" w:cs="Arial"/>
          <w:bCs/>
          <w:sz w:val="24"/>
          <w:szCs w:val="24"/>
        </w:rPr>
        <w:t>Projekt opiera się na koncepcji Lifelong Learning (LLL, kształcenie ustawiczne)</w:t>
      </w:r>
      <w:r w:rsidRPr="002D04E1">
        <w:rPr>
          <w:rStyle w:val="Odwoanieprzypisudolnego"/>
          <w:rFonts w:ascii="Verdana" w:hAnsi="Verdana" w:cs="Arial"/>
          <w:bCs/>
          <w:sz w:val="24"/>
          <w:szCs w:val="24"/>
        </w:rPr>
        <w:footnoteReference w:id="5"/>
      </w:r>
      <w:r w:rsidRPr="002D04E1">
        <w:rPr>
          <w:rFonts w:ascii="Verdana" w:hAnsi="Verdana" w:cs="Arial"/>
          <w:bCs/>
          <w:sz w:val="24"/>
          <w:szCs w:val="24"/>
        </w:rPr>
        <w:t>. Mentoring w idei LLL może przyjmować różne formy i jest stosowany w różnych obszarach, aby wspierać ciągły rozwój zawodowy i osobisty.</w:t>
      </w:r>
      <w:r w:rsidR="00181594" w:rsidRPr="002D04E1">
        <w:rPr>
          <w:rFonts w:ascii="Verdana" w:hAnsi="Verdana" w:cs="Arial"/>
          <w:bCs/>
          <w:sz w:val="24"/>
          <w:szCs w:val="24"/>
        </w:rPr>
        <w:t xml:space="preserve"> </w:t>
      </w:r>
      <w:r w:rsidRPr="002D04E1">
        <w:rPr>
          <w:rFonts w:ascii="Verdana" w:hAnsi="Verdana" w:cs="Arial"/>
          <w:bCs/>
          <w:sz w:val="24"/>
          <w:szCs w:val="24"/>
        </w:rPr>
        <w:t>Korzyści z mentoringu w ramach LLL to:</w:t>
      </w:r>
    </w:p>
    <w:p w14:paraId="05B8E375" w14:textId="4EEBC030" w:rsidR="00965545" w:rsidRPr="002D04E1" w:rsidRDefault="00965545" w:rsidP="00530D9C">
      <w:pPr>
        <w:pStyle w:val="Akapitzlist"/>
        <w:numPr>
          <w:ilvl w:val="0"/>
          <w:numId w:val="18"/>
        </w:numPr>
        <w:spacing w:before="120" w:after="120" w:line="360" w:lineRule="auto"/>
        <w:contextualSpacing w:val="0"/>
        <w:rPr>
          <w:rFonts w:ascii="Verdana" w:hAnsi="Verdana" w:cs="Arial"/>
          <w:bCs/>
          <w:sz w:val="24"/>
          <w:szCs w:val="24"/>
        </w:rPr>
      </w:pPr>
      <w:r w:rsidRPr="002D04E1">
        <w:rPr>
          <w:rFonts w:ascii="Verdana" w:hAnsi="Verdana" w:cs="Arial"/>
          <w:bCs/>
          <w:sz w:val="24"/>
          <w:szCs w:val="24"/>
        </w:rPr>
        <w:t>indywidualne wsparcie - mentoring oferuje spersonalizowane wsparcie dostosowane do indywidualnych potrzeb i celów uczestników</w:t>
      </w:r>
      <w:r w:rsidR="00AC16B6">
        <w:rPr>
          <w:rFonts w:ascii="Verdana" w:hAnsi="Verdana" w:cs="Arial"/>
          <w:bCs/>
          <w:sz w:val="24"/>
          <w:szCs w:val="24"/>
        </w:rPr>
        <w:t xml:space="preserve"> i uczestniczek</w:t>
      </w:r>
      <w:r w:rsidRPr="002D04E1">
        <w:rPr>
          <w:rFonts w:ascii="Verdana" w:hAnsi="Verdana" w:cs="Arial"/>
          <w:bCs/>
          <w:sz w:val="24"/>
          <w:szCs w:val="24"/>
        </w:rPr>
        <w:t xml:space="preserve">; </w:t>
      </w:r>
    </w:p>
    <w:p w14:paraId="20FAAE90" w14:textId="269C445A" w:rsidR="00965545" w:rsidRPr="002D04E1" w:rsidRDefault="00965545" w:rsidP="00530D9C">
      <w:pPr>
        <w:pStyle w:val="Akapitzlist"/>
        <w:numPr>
          <w:ilvl w:val="0"/>
          <w:numId w:val="18"/>
        </w:numPr>
        <w:spacing w:before="120" w:after="120" w:line="360" w:lineRule="auto"/>
        <w:contextualSpacing w:val="0"/>
        <w:rPr>
          <w:rFonts w:ascii="Verdana" w:hAnsi="Verdana" w:cs="Arial"/>
          <w:bCs/>
          <w:sz w:val="24"/>
          <w:szCs w:val="24"/>
        </w:rPr>
      </w:pPr>
      <w:r w:rsidRPr="002D04E1">
        <w:rPr>
          <w:rFonts w:ascii="Verdana" w:hAnsi="Verdana" w:cs="Arial"/>
          <w:bCs/>
          <w:sz w:val="24"/>
          <w:szCs w:val="24"/>
        </w:rPr>
        <w:t xml:space="preserve">rozwój kompetencji </w:t>
      </w:r>
      <w:r w:rsidR="00AC16B6">
        <w:rPr>
          <w:rFonts w:ascii="Verdana" w:hAnsi="Verdana" w:cs="Arial"/>
          <w:bCs/>
          <w:sz w:val="24"/>
          <w:szCs w:val="24"/>
        </w:rPr>
        <w:t>–</w:t>
      </w:r>
      <w:r w:rsidRPr="002D04E1">
        <w:rPr>
          <w:rFonts w:ascii="Verdana" w:hAnsi="Verdana" w:cs="Arial"/>
          <w:bCs/>
          <w:sz w:val="24"/>
          <w:szCs w:val="24"/>
        </w:rPr>
        <w:t xml:space="preserve"> </w:t>
      </w:r>
      <w:r w:rsidR="00AC16B6">
        <w:rPr>
          <w:rFonts w:ascii="Verdana" w:hAnsi="Verdana" w:cs="Arial"/>
          <w:bCs/>
          <w:sz w:val="24"/>
          <w:szCs w:val="24"/>
        </w:rPr>
        <w:t>osoby uczestniczące w</w:t>
      </w:r>
      <w:r w:rsidRPr="002D04E1">
        <w:rPr>
          <w:rFonts w:ascii="Verdana" w:hAnsi="Verdana" w:cs="Arial"/>
          <w:bCs/>
          <w:sz w:val="24"/>
          <w:szCs w:val="24"/>
        </w:rPr>
        <w:t xml:space="preserve"> program</w:t>
      </w:r>
      <w:r w:rsidR="00AC16B6">
        <w:rPr>
          <w:rFonts w:ascii="Verdana" w:hAnsi="Verdana" w:cs="Arial"/>
          <w:bCs/>
          <w:sz w:val="24"/>
          <w:szCs w:val="24"/>
        </w:rPr>
        <w:t>ach</w:t>
      </w:r>
      <w:r w:rsidRPr="002D04E1">
        <w:rPr>
          <w:rFonts w:ascii="Verdana" w:hAnsi="Verdana" w:cs="Arial"/>
          <w:bCs/>
          <w:sz w:val="24"/>
          <w:szCs w:val="24"/>
        </w:rPr>
        <w:t xml:space="preserve"> mentorskich mogą rozwijać zarówno twarde, jak i miękkie umiejętności; </w:t>
      </w:r>
    </w:p>
    <w:p w14:paraId="4C07807C" w14:textId="57033AD2" w:rsidR="00965545" w:rsidRPr="002D04E1" w:rsidRDefault="00965545" w:rsidP="00530D9C">
      <w:pPr>
        <w:pStyle w:val="Akapitzlist"/>
        <w:numPr>
          <w:ilvl w:val="0"/>
          <w:numId w:val="18"/>
        </w:numPr>
        <w:spacing w:before="120" w:after="120" w:line="360" w:lineRule="auto"/>
        <w:contextualSpacing w:val="0"/>
        <w:rPr>
          <w:rFonts w:ascii="Verdana" w:hAnsi="Verdana" w:cs="Arial"/>
          <w:bCs/>
          <w:sz w:val="24"/>
          <w:szCs w:val="24"/>
        </w:rPr>
      </w:pPr>
      <w:r w:rsidRPr="002D04E1">
        <w:rPr>
          <w:rFonts w:ascii="Verdana" w:hAnsi="Verdana" w:cs="Arial"/>
          <w:bCs/>
          <w:sz w:val="24"/>
          <w:szCs w:val="24"/>
        </w:rPr>
        <w:t xml:space="preserve">networking </w:t>
      </w:r>
      <w:r w:rsidR="00AC16B6">
        <w:rPr>
          <w:rFonts w:ascii="Verdana" w:hAnsi="Verdana" w:cs="Arial"/>
          <w:bCs/>
          <w:sz w:val="24"/>
          <w:szCs w:val="24"/>
        </w:rPr>
        <w:t>–</w:t>
      </w:r>
      <w:r w:rsidRPr="002D04E1">
        <w:rPr>
          <w:rFonts w:ascii="Verdana" w:hAnsi="Verdana" w:cs="Arial"/>
          <w:bCs/>
          <w:sz w:val="24"/>
          <w:szCs w:val="24"/>
        </w:rPr>
        <w:t xml:space="preserve"> mentorzy</w:t>
      </w:r>
      <w:r w:rsidR="00AC16B6">
        <w:rPr>
          <w:rFonts w:ascii="Verdana" w:hAnsi="Verdana" w:cs="Arial"/>
          <w:bCs/>
          <w:sz w:val="24"/>
          <w:szCs w:val="24"/>
        </w:rPr>
        <w:t xml:space="preserve"> i mentorki</w:t>
      </w:r>
      <w:r w:rsidRPr="002D04E1">
        <w:rPr>
          <w:rFonts w:ascii="Verdana" w:hAnsi="Verdana" w:cs="Arial"/>
          <w:bCs/>
          <w:sz w:val="24"/>
          <w:szCs w:val="24"/>
        </w:rPr>
        <w:t xml:space="preserve"> często pomagają w nawiązywaniu wartościowych kontaktów zawodowych i osobistych; </w:t>
      </w:r>
    </w:p>
    <w:p w14:paraId="56D8FB66" w14:textId="77777777" w:rsidR="00965545" w:rsidRPr="002D04E1" w:rsidRDefault="00965545" w:rsidP="00530D9C">
      <w:pPr>
        <w:pStyle w:val="Akapitzlist"/>
        <w:numPr>
          <w:ilvl w:val="0"/>
          <w:numId w:val="18"/>
        </w:numPr>
        <w:spacing w:before="120" w:after="120" w:line="360" w:lineRule="auto"/>
        <w:contextualSpacing w:val="0"/>
        <w:rPr>
          <w:rFonts w:ascii="Verdana" w:hAnsi="Verdana" w:cs="Arial"/>
          <w:bCs/>
          <w:sz w:val="24"/>
          <w:szCs w:val="24"/>
        </w:rPr>
      </w:pPr>
      <w:r w:rsidRPr="002D04E1">
        <w:rPr>
          <w:rFonts w:ascii="Verdana" w:hAnsi="Verdana" w:cs="Arial"/>
          <w:bCs/>
          <w:sz w:val="24"/>
          <w:szCs w:val="24"/>
        </w:rPr>
        <w:lastRenderedPageBreak/>
        <w:t>motywacja i inspiracja - mentoring może zwiększać motywację i inspirację do ciągłego uczenia się i rozwoju, przynosi lepsze rezultaty edukacyjne i zawodowe.</w:t>
      </w:r>
    </w:p>
    <w:p w14:paraId="5D31568A" w14:textId="6C62B1C6" w:rsidR="00965545" w:rsidRPr="002D04E1" w:rsidRDefault="00965545"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Mentoring jest więc kluczowym elementem strategii </w:t>
      </w:r>
      <w:r w:rsidR="00AC16B6">
        <w:rPr>
          <w:rFonts w:ascii="Verdana" w:hAnsi="Verdana" w:cs="Arial"/>
          <w:bCs/>
          <w:sz w:val="24"/>
          <w:szCs w:val="24"/>
        </w:rPr>
        <w:t>L</w:t>
      </w:r>
      <w:r w:rsidRPr="002D04E1">
        <w:rPr>
          <w:rFonts w:ascii="Verdana" w:hAnsi="Verdana" w:cs="Arial"/>
          <w:bCs/>
          <w:sz w:val="24"/>
          <w:szCs w:val="24"/>
        </w:rPr>
        <w:t xml:space="preserve">ifelong </w:t>
      </w:r>
      <w:r w:rsidR="00AC16B6">
        <w:rPr>
          <w:rFonts w:ascii="Verdana" w:hAnsi="Verdana" w:cs="Arial"/>
          <w:bCs/>
          <w:sz w:val="24"/>
          <w:szCs w:val="24"/>
        </w:rPr>
        <w:t>L</w:t>
      </w:r>
      <w:r w:rsidRPr="002D04E1">
        <w:rPr>
          <w:rFonts w:ascii="Verdana" w:hAnsi="Verdana" w:cs="Arial"/>
          <w:bCs/>
          <w:sz w:val="24"/>
          <w:szCs w:val="24"/>
        </w:rPr>
        <w:t>earning, pomagającym ludziom na różnych etapach życia rozwijać się i adaptować do ciągle zmieniającego się świata. Jednocześnie, mentoring dla firm w trudnościach wymaga dodatkowych umiejętności i kompetencji pracy z przedsiębiorcami w kryzysie. To poczucie zagrożenia powoduje zniekształconą ocenę sytuacji i podejmowanie często nietrafnych decyzji, które ostatecznie mają wpływ na prowadzony biznes.</w:t>
      </w:r>
    </w:p>
    <w:p w14:paraId="48D1C7D8" w14:textId="6F6D48C6" w:rsidR="00965545" w:rsidRPr="002D04E1" w:rsidRDefault="00965545" w:rsidP="00530D9C">
      <w:pPr>
        <w:spacing w:before="120" w:after="120" w:line="360" w:lineRule="auto"/>
        <w:rPr>
          <w:rFonts w:ascii="Verdana" w:hAnsi="Verdana" w:cs="Arial"/>
          <w:bCs/>
          <w:sz w:val="24"/>
          <w:szCs w:val="24"/>
        </w:rPr>
      </w:pPr>
      <w:r w:rsidRPr="002D04E1">
        <w:rPr>
          <w:rFonts w:ascii="Verdana" w:hAnsi="Verdana" w:cs="Arial"/>
          <w:bCs/>
          <w:sz w:val="24"/>
          <w:szCs w:val="24"/>
        </w:rPr>
        <w:t>Analiza problemów</w:t>
      </w:r>
      <w:r w:rsidRPr="002D04E1">
        <w:rPr>
          <w:rStyle w:val="Odwoanieprzypisudolnego"/>
          <w:rFonts w:ascii="Verdana" w:hAnsi="Verdana" w:cs="Arial"/>
          <w:bCs/>
          <w:sz w:val="24"/>
          <w:szCs w:val="24"/>
        </w:rPr>
        <w:footnoteReference w:id="6"/>
      </w:r>
      <w:r w:rsidRPr="002D04E1">
        <w:rPr>
          <w:rFonts w:ascii="Verdana" w:hAnsi="Verdana" w:cs="Arial"/>
          <w:bCs/>
          <w:sz w:val="24"/>
          <w:szCs w:val="24"/>
        </w:rPr>
        <w:t>, z którymi borykają się firmy</w:t>
      </w:r>
      <w:r w:rsidR="00AC16B6">
        <w:rPr>
          <w:rFonts w:ascii="Verdana" w:hAnsi="Verdana" w:cs="Arial"/>
          <w:bCs/>
          <w:sz w:val="24"/>
          <w:szCs w:val="24"/>
        </w:rPr>
        <w:t>,</w:t>
      </w:r>
      <w:r w:rsidRPr="002D04E1">
        <w:rPr>
          <w:rFonts w:ascii="Verdana" w:hAnsi="Verdana" w:cs="Arial"/>
          <w:bCs/>
          <w:sz w:val="24"/>
          <w:szCs w:val="24"/>
        </w:rPr>
        <w:t xml:space="preserve"> wskazuje na różnorodny charakter barier w prowadzeniu działalności gospodarczej, m.in.: niewystarczająca wiedza zarządcza lub brak długofalowej strategii działania, brak wykwalifikowanego personelu lub nieumiejętne zarządzanie zasobami kadrowymi, nieumiejętne podejmowanie kluczowych decyzji biznesowych, w końcu niewystarczające kompetencje pozwalające adaptować prowadzony biznes do zmieniających się warunków otoczenia w czasach kryzysu gospodarczego.</w:t>
      </w:r>
    </w:p>
    <w:p w14:paraId="32EC8FE6" w14:textId="4E8DD63B" w:rsidR="00965545" w:rsidRPr="002D04E1" w:rsidRDefault="00965545" w:rsidP="00530D9C">
      <w:pPr>
        <w:spacing w:before="120" w:after="120" w:line="360" w:lineRule="auto"/>
        <w:rPr>
          <w:rFonts w:ascii="Verdana" w:hAnsi="Verdana" w:cs="Arial"/>
          <w:bCs/>
          <w:sz w:val="24"/>
          <w:szCs w:val="24"/>
        </w:rPr>
      </w:pPr>
      <w:r w:rsidRPr="002D04E1">
        <w:rPr>
          <w:rFonts w:ascii="Verdana" w:hAnsi="Verdana" w:cs="Arial"/>
          <w:bCs/>
          <w:sz w:val="24"/>
          <w:szCs w:val="24"/>
        </w:rPr>
        <w:t>Brak wiedzy i umiejętności można nadrobić</w:t>
      </w:r>
      <w:r w:rsidR="00AC16B6">
        <w:rPr>
          <w:rFonts w:ascii="Verdana" w:hAnsi="Verdana" w:cs="Arial"/>
          <w:bCs/>
          <w:sz w:val="24"/>
          <w:szCs w:val="24"/>
        </w:rPr>
        <w:t>,</w:t>
      </w:r>
      <w:r w:rsidRPr="002D04E1">
        <w:rPr>
          <w:rFonts w:ascii="Verdana" w:hAnsi="Verdana" w:cs="Arial"/>
          <w:bCs/>
          <w:sz w:val="24"/>
          <w:szCs w:val="24"/>
        </w:rPr>
        <w:t xml:space="preserve"> korzystając ze wsparcia szkoleniowego czy doradczego, w szerokim zakresie merytorycznym oferowanego poprzez instytucje szkoleniowe za pośrednictwem Bazy Usług Rozwojowych. Niestety, uzupełnienie wiedzy i umiejętności nie jest ostatecznie gwarantem odniesienia sukcesu w postaci przezwyciężenia trudności. </w:t>
      </w:r>
    </w:p>
    <w:p w14:paraId="385929A5" w14:textId="77777777" w:rsidR="00965545" w:rsidRPr="002D04E1" w:rsidRDefault="00965545"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Oferta szkoleniowa powinna zostać rozszerzona o wsparcie umiejętności związanych z odpornością na stres, zdolnością reagowania w nagłych kryzysowych sytuacjach, dynamicznym reagowaniem na zmieniające się warunki prowadzenia biznesu, w końcu postawy – odwagi osobistej i kreatywnego podejścia. Przewodnikami w zakresie rozwijania tych postaw </w:t>
      </w:r>
      <w:r w:rsidRPr="002D04E1">
        <w:rPr>
          <w:rFonts w:ascii="Verdana" w:hAnsi="Verdana" w:cs="Arial"/>
          <w:bCs/>
          <w:sz w:val="24"/>
          <w:szCs w:val="24"/>
        </w:rPr>
        <w:lastRenderedPageBreak/>
        <w:t>powinny być osoby, które swoim doświadczeniem gwarantują przezwyciężanie trudności – przedsiębiorcy, którzy sami przetrwali kryzysy w prowadzonych przez siebie biznesach.</w:t>
      </w:r>
    </w:p>
    <w:p w14:paraId="05235D44" w14:textId="593EDAAB" w:rsidR="00C52F79" w:rsidRPr="002E122B" w:rsidRDefault="00965545" w:rsidP="00530D9C">
      <w:pPr>
        <w:spacing w:before="120" w:after="120" w:line="360" w:lineRule="auto"/>
        <w:rPr>
          <w:rFonts w:ascii="Verdana" w:hAnsi="Verdana" w:cs="Arial"/>
          <w:bCs/>
          <w:sz w:val="24"/>
          <w:szCs w:val="24"/>
        </w:rPr>
      </w:pPr>
      <w:r w:rsidRPr="002D04E1">
        <w:rPr>
          <w:rFonts w:ascii="Verdana" w:hAnsi="Verdana" w:cs="Arial"/>
          <w:bCs/>
          <w:sz w:val="24"/>
          <w:szCs w:val="24"/>
        </w:rPr>
        <w:t>Mentoring w biznesie odnosi się do relacji między doświadczonym przedsiębiorcą (</w:t>
      </w:r>
      <w:r w:rsidR="00721404">
        <w:rPr>
          <w:rFonts w:ascii="Verdana" w:hAnsi="Verdana" w:cs="Arial"/>
          <w:bCs/>
          <w:sz w:val="24"/>
          <w:szCs w:val="24"/>
        </w:rPr>
        <w:t xml:space="preserve">osobą pełniącą funkcję </w:t>
      </w:r>
      <w:r w:rsidRPr="002D04E1">
        <w:rPr>
          <w:rFonts w:ascii="Verdana" w:hAnsi="Verdana" w:cs="Arial"/>
          <w:bCs/>
          <w:sz w:val="24"/>
          <w:szCs w:val="24"/>
        </w:rPr>
        <w:t>mentor</w:t>
      </w:r>
      <w:r w:rsidR="00721404">
        <w:rPr>
          <w:rFonts w:ascii="Verdana" w:hAnsi="Verdana" w:cs="Arial"/>
          <w:bCs/>
          <w:sz w:val="24"/>
          <w:szCs w:val="24"/>
        </w:rPr>
        <w:t>a</w:t>
      </w:r>
      <w:r w:rsidRPr="002D04E1">
        <w:rPr>
          <w:rFonts w:ascii="Verdana" w:hAnsi="Verdana" w:cs="Arial"/>
          <w:bCs/>
          <w:sz w:val="24"/>
          <w:szCs w:val="24"/>
        </w:rPr>
        <w:t>) a właścicielem</w:t>
      </w:r>
      <w:r w:rsidR="00721404">
        <w:rPr>
          <w:rFonts w:ascii="Verdana" w:hAnsi="Verdana" w:cs="Arial"/>
          <w:bCs/>
          <w:sz w:val="24"/>
          <w:szCs w:val="24"/>
        </w:rPr>
        <w:t xml:space="preserve"> lub właścicielką</w:t>
      </w:r>
      <w:r w:rsidRPr="002D04E1">
        <w:rPr>
          <w:rFonts w:ascii="Verdana" w:hAnsi="Verdana" w:cs="Arial"/>
          <w:bCs/>
          <w:sz w:val="24"/>
          <w:szCs w:val="24"/>
        </w:rPr>
        <w:t xml:space="preserve"> firmy lub pracownikiem</w:t>
      </w:r>
      <w:r w:rsidR="00721404">
        <w:rPr>
          <w:rFonts w:ascii="Verdana" w:hAnsi="Verdana" w:cs="Arial"/>
          <w:bCs/>
          <w:sz w:val="24"/>
          <w:szCs w:val="24"/>
        </w:rPr>
        <w:t xml:space="preserve"> lub pracowniczką</w:t>
      </w:r>
      <w:r w:rsidRPr="002D04E1">
        <w:rPr>
          <w:rFonts w:ascii="Verdana" w:hAnsi="Verdana" w:cs="Arial"/>
          <w:bCs/>
          <w:sz w:val="24"/>
          <w:szCs w:val="24"/>
        </w:rPr>
        <w:t xml:space="preserve"> (mentee/podopiecznym). Może być stosowany na wszystkich etapach cyklu życia firmy i przynosi korzyści obu stronom. </w:t>
      </w:r>
    </w:p>
    <w:p w14:paraId="7CFB350C" w14:textId="2B403CD4" w:rsidR="00107D55" w:rsidRPr="002D04E1" w:rsidRDefault="00107D55" w:rsidP="001F2901">
      <w:pPr>
        <w:pStyle w:val="Nagwek2"/>
      </w:pPr>
      <w:r w:rsidRPr="002D04E1">
        <w:t xml:space="preserve">Uzasadnienie wyboru projektu </w:t>
      </w:r>
      <w:r w:rsidRPr="002D04E1">
        <w:rPr>
          <w:bCs/>
        </w:rPr>
        <w:t>w</w:t>
      </w:r>
      <w:r w:rsidRPr="002D04E1">
        <w:t xml:space="preserve"> sposób niekonkurencyjny oraz wyboru podmiotu, który będzie wnioskodawcą:</w:t>
      </w:r>
    </w:p>
    <w:p w14:paraId="3A2C8F7D" w14:textId="5F594D24" w:rsidR="00B0136E" w:rsidRPr="002D04E1" w:rsidRDefault="00632873"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Przedsięwzięcie będzie realizowane przez Polską Agencję Rozwoju Przedsiębiorczości (PARP). PARP jest instytucją, która działa na podstawie ustawy </w:t>
      </w:r>
      <w:r w:rsidR="009E7819" w:rsidRPr="002D04E1">
        <w:rPr>
          <w:rFonts w:ascii="Verdana" w:hAnsi="Verdana" w:cs="Arial"/>
          <w:bCs/>
          <w:sz w:val="24"/>
          <w:szCs w:val="24"/>
        </w:rPr>
        <w:t xml:space="preserve">z dnia 9 listopada 2000 r. </w:t>
      </w:r>
      <w:r w:rsidRPr="002D04E1">
        <w:rPr>
          <w:rFonts w:ascii="Verdana" w:hAnsi="Verdana" w:cs="Arial"/>
          <w:bCs/>
          <w:sz w:val="24"/>
          <w:szCs w:val="24"/>
        </w:rPr>
        <w:t xml:space="preserve">o </w:t>
      </w:r>
      <w:r w:rsidR="009E7819" w:rsidRPr="002D04E1">
        <w:rPr>
          <w:rFonts w:ascii="Verdana" w:hAnsi="Verdana" w:cs="Arial"/>
          <w:bCs/>
          <w:sz w:val="24"/>
          <w:szCs w:val="24"/>
        </w:rPr>
        <w:t xml:space="preserve">utworzeniu Polskiej Agencji Rozwoju Przedsiębiorczości (Dz.U. z 2023 r. poz. 462) </w:t>
      </w:r>
      <w:r w:rsidRPr="002D04E1">
        <w:rPr>
          <w:rFonts w:ascii="Verdana" w:hAnsi="Verdana" w:cs="Arial"/>
          <w:bCs/>
          <w:sz w:val="24"/>
          <w:szCs w:val="24"/>
        </w:rPr>
        <w:t xml:space="preserve">i realizuje zadania m.in. w zakresie przedsiębiorczości, przygotowywania i realizacji programów działań wspierających przedsiębiorców oraz rozwoju adaptacyjności przedsiębiorstw (art. 4 ust. 1,2a i 4 ustawy o PARP). </w:t>
      </w:r>
      <w:r w:rsidR="00B0136E" w:rsidRPr="002D04E1">
        <w:rPr>
          <w:rFonts w:ascii="Verdana" w:hAnsi="Verdana" w:cs="Arial"/>
          <w:bCs/>
          <w:sz w:val="24"/>
          <w:szCs w:val="24"/>
        </w:rPr>
        <w:t xml:space="preserve">Projekt spełnia przesłankę wskazaną w art. 44 </w:t>
      </w:r>
      <w:r w:rsidR="009E5E5D" w:rsidRPr="002D04E1">
        <w:rPr>
          <w:rFonts w:ascii="Verdana" w:hAnsi="Verdana" w:cs="Arial"/>
          <w:bCs/>
          <w:sz w:val="24"/>
          <w:szCs w:val="24"/>
        </w:rPr>
        <w:t xml:space="preserve">ust 2 pkt 1 </w:t>
      </w:r>
      <w:r w:rsidR="00B0136E" w:rsidRPr="002D04E1">
        <w:rPr>
          <w:rFonts w:ascii="Verdana" w:hAnsi="Verdana" w:cs="Arial"/>
          <w:bCs/>
          <w:sz w:val="24"/>
          <w:szCs w:val="24"/>
        </w:rPr>
        <w:t>ustawy</w:t>
      </w:r>
      <w:r w:rsidR="009E5E5D" w:rsidRPr="002D04E1">
        <w:rPr>
          <w:rFonts w:ascii="Verdana" w:hAnsi="Verdana" w:cs="Arial"/>
          <w:bCs/>
          <w:sz w:val="24"/>
          <w:szCs w:val="24"/>
        </w:rPr>
        <w:t xml:space="preserve"> z dnia 28 kwietnia 2022 r. o zasadach realizacji zadań finansowanych ze środków europejskich w perspektywie finansowej 2021-2027</w:t>
      </w:r>
      <w:r w:rsidR="00B0136E" w:rsidRPr="002D04E1">
        <w:rPr>
          <w:rFonts w:ascii="Verdana" w:hAnsi="Verdana" w:cs="Arial"/>
          <w:bCs/>
          <w:sz w:val="24"/>
          <w:szCs w:val="24"/>
        </w:rPr>
        <w:t xml:space="preserve"> mówiącą o tym, że projekt polega na realizacji zadań publicznych wynikających z przepisów odrębnych. </w:t>
      </w:r>
      <w:r w:rsidR="00DE6530" w:rsidRPr="002D04E1">
        <w:rPr>
          <w:rFonts w:ascii="Verdana" w:hAnsi="Verdana" w:cs="Arial"/>
          <w:bCs/>
          <w:sz w:val="24"/>
          <w:szCs w:val="24"/>
        </w:rPr>
        <w:t xml:space="preserve">Zadanie publiczne realizowane w projekcie wynika z art. 4 ust. 2a pkt 1) ustawy o PARP i polega na przygotowaniu i realizacji programu wsparcia dla przedsiębiorstw w trudnościach. </w:t>
      </w:r>
    </w:p>
    <w:p w14:paraId="453D1065" w14:textId="11BB1C1E" w:rsidR="00B0136E" w:rsidRPr="002D04E1" w:rsidRDefault="00B0136E" w:rsidP="00530D9C">
      <w:pPr>
        <w:spacing w:before="120" w:after="120" w:line="360" w:lineRule="auto"/>
        <w:rPr>
          <w:rFonts w:ascii="Verdana" w:hAnsi="Verdana" w:cs="Arial"/>
          <w:bCs/>
          <w:sz w:val="24"/>
          <w:szCs w:val="24"/>
        </w:rPr>
      </w:pPr>
      <w:r w:rsidRPr="002D04E1">
        <w:rPr>
          <w:rFonts w:ascii="Verdana" w:hAnsi="Verdana" w:cs="Arial"/>
          <w:bCs/>
          <w:sz w:val="24"/>
          <w:szCs w:val="24"/>
        </w:rPr>
        <w:t>Jednocześnie</w:t>
      </w:r>
      <w:r w:rsidR="00DE6530" w:rsidRPr="002D04E1">
        <w:rPr>
          <w:rFonts w:ascii="Verdana" w:hAnsi="Verdana" w:cs="Arial"/>
          <w:bCs/>
          <w:sz w:val="24"/>
          <w:szCs w:val="24"/>
        </w:rPr>
        <w:t>,</w:t>
      </w:r>
      <w:r w:rsidRPr="002D04E1">
        <w:rPr>
          <w:rFonts w:ascii="Verdana" w:hAnsi="Verdana" w:cs="Arial"/>
          <w:bCs/>
          <w:sz w:val="24"/>
          <w:szCs w:val="24"/>
        </w:rPr>
        <w:t xml:space="preserve"> prezentowane przedsięwzięcie spełnia przesłankę wskazaną w art. 44 </w:t>
      </w:r>
      <w:r w:rsidR="009E5E5D" w:rsidRPr="002D04E1">
        <w:rPr>
          <w:rFonts w:ascii="Verdana" w:hAnsi="Verdana" w:cs="Arial"/>
          <w:bCs/>
          <w:sz w:val="24"/>
          <w:szCs w:val="24"/>
        </w:rPr>
        <w:t xml:space="preserve">ust.2 pkt 2 </w:t>
      </w:r>
      <w:r w:rsidRPr="002D04E1">
        <w:rPr>
          <w:rFonts w:ascii="Verdana" w:hAnsi="Verdana" w:cs="Arial"/>
          <w:bCs/>
          <w:sz w:val="24"/>
          <w:szCs w:val="24"/>
        </w:rPr>
        <w:t>tejże ustawy mówiącą o tym, że w sposób niekonkurencyjny mogą zostać wybrane projekty, które mają strategiczne znaczenie dla społeczno-gospodarczego rozwoju kraju</w:t>
      </w:r>
      <w:r w:rsidR="00E0050D" w:rsidRPr="002D04E1">
        <w:rPr>
          <w:rFonts w:ascii="Verdana" w:hAnsi="Verdana" w:cs="Arial"/>
          <w:bCs/>
          <w:sz w:val="24"/>
          <w:szCs w:val="24"/>
        </w:rPr>
        <w:t>.</w:t>
      </w:r>
    </w:p>
    <w:p w14:paraId="1C5310CB" w14:textId="5B57C655" w:rsidR="00316DB7" w:rsidRPr="002E122B" w:rsidRDefault="00B0136E" w:rsidP="00530D9C">
      <w:pPr>
        <w:spacing w:before="120" w:after="120" w:line="360" w:lineRule="auto"/>
        <w:rPr>
          <w:rFonts w:ascii="Verdana" w:hAnsi="Verdana"/>
          <w:sz w:val="24"/>
          <w:szCs w:val="24"/>
        </w:rPr>
      </w:pPr>
      <w:r w:rsidRPr="002D04E1">
        <w:rPr>
          <w:rFonts w:ascii="Verdana" w:hAnsi="Verdana" w:cs="Arial"/>
          <w:bCs/>
          <w:sz w:val="24"/>
          <w:szCs w:val="24"/>
        </w:rPr>
        <w:lastRenderedPageBreak/>
        <w:t>Zgodnie z „Krajową Strategią Rozwoju Regionalnego 2030”</w:t>
      </w:r>
      <w:r w:rsidR="00721404">
        <w:rPr>
          <w:rFonts w:ascii="Verdana" w:hAnsi="Verdana" w:cs="Arial"/>
          <w:bCs/>
          <w:sz w:val="24"/>
          <w:szCs w:val="24"/>
        </w:rPr>
        <w:t>,</w:t>
      </w:r>
      <w:r w:rsidRPr="002D04E1">
        <w:rPr>
          <w:rFonts w:ascii="Verdana" w:hAnsi="Verdana" w:cs="Arial"/>
          <w:bCs/>
          <w:sz w:val="24"/>
          <w:szCs w:val="24"/>
        </w:rPr>
        <w:t xml:space="preserve"> jakość kapitału ludzkiego to jeden z kluczowych czynników determinujących wysoki poziom rozwoju społeczno-gospodarczego oraz możliwości rozwojowe regionów.</w:t>
      </w:r>
      <w:r w:rsidR="00B9679C" w:rsidRPr="002D04E1">
        <w:rPr>
          <w:rFonts w:ascii="Verdana" w:hAnsi="Verdana" w:cs="Arial"/>
          <w:bCs/>
          <w:sz w:val="24"/>
          <w:szCs w:val="24"/>
        </w:rPr>
        <w:t xml:space="preserve"> W</w:t>
      </w:r>
      <w:r w:rsidR="00017509" w:rsidRPr="002D04E1">
        <w:rPr>
          <w:rFonts w:ascii="Verdana" w:hAnsi="Verdana" w:cs="Arial"/>
          <w:bCs/>
          <w:sz w:val="24"/>
          <w:szCs w:val="24"/>
        </w:rPr>
        <w:t xml:space="preserve">sparcie przedsiębiorców w trudnościach </w:t>
      </w:r>
      <w:r w:rsidR="006A49CB" w:rsidRPr="002D04E1">
        <w:rPr>
          <w:rFonts w:ascii="Verdana" w:hAnsi="Verdana" w:cs="Arial"/>
          <w:bCs/>
          <w:sz w:val="24"/>
          <w:szCs w:val="24"/>
        </w:rPr>
        <w:t>ma strategiczne znaczenie dla społeczno-gospodarczego rozwoju kraju</w:t>
      </w:r>
      <w:r w:rsidR="00820581" w:rsidRPr="002D04E1">
        <w:rPr>
          <w:rFonts w:ascii="Verdana" w:hAnsi="Verdana" w:cs="Arial"/>
          <w:bCs/>
          <w:sz w:val="24"/>
          <w:szCs w:val="24"/>
        </w:rPr>
        <w:t>.</w:t>
      </w:r>
      <w:r w:rsidR="00C151BC" w:rsidRPr="002D04E1">
        <w:rPr>
          <w:rFonts w:ascii="Verdana" w:hAnsi="Verdana" w:cs="Arial"/>
          <w:bCs/>
          <w:sz w:val="24"/>
          <w:szCs w:val="24"/>
        </w:rPr>
        <w:t xml:space="preserve"> </w:t>
      </w:r>
      <w:r w:rsidR="00E0050D" w:rsidRPr="002D04E1">
        <w:rPr>
          <w:rFonts w:ascii="Verdana" w:hAnsi="Verdana" w:cs="Arial"/>
          <w:bCs/>
          <w:sz w:val="24"/>
          <w:szCs w:val="24"/>
        </w:rPr>
        <w:t xml:space="preserve">Projekt </w:t>
      </w:r>
      <w:r w:rsidRPr="002D04E1">
        <w:rPr>
          <w:rFonts w:ascii="Verdana" w:hAnsi="Verdana" w:cs="Arial"/>
          <w:bCs/>
          <w:sz w:val="24"/>
          <w:szCs w:val="24"/>
        </w:rPr>
        <w:t>kontynuuj</w:t>
      </w:r>
      <w:r w:rsidR="00E0050D" w:rsidRPr="002D04E1">
        <w:rPr>
          <w:rFonts w:ascii="Verdana" w:hAnsi="Verdana" w:cs="Arial"/>
          <w:bCs/>
          <w:sz w:val="24"/>
          <w:szCs w:val="24"/>
        </w:rPr>
        <w:t xml:space="preserve">e </w:t>
      </w:r>
      <w:r w:rsidRPr="002D04E1">
        <w:rPr>
          <w:rFonts w:ascii="Verdana" w:hAnsi="Verdana" w:cs="Arial"/>
          <w:bCs/>
          <w:sz w:val="24"/>
          <w:szCs w:val="24"/>
        </w:rPr>
        <w:t xml:space="preserve">proces </w:t>
      </w:r>
      <w:r w:rsidR="00CF151E" w:rsidRPr="002D04E1">
        <w:rPr>
          <w:rFonts w:ascii="Verdana" w:hAnsi="Verdana" w:cs="Arial"/>
          <w:bCs/>
          <w:sz w:val="24"/>
          <w:szCs w:val="24"/>
        </w:rPr>
        <w:t>wdr</w:t>
      </w:r>
      <w:r w:rsidRPr="002D04E1">
        <w:rPr>
          <w:rFonts w:ascii="Verdana" w:hAnsi="Verdana" w:cs="Arial"/>
          <w:bCs/>
          <w:sz w:val="24"/>
          <w:szCs w:val="24"/>
        </w:rPr>
        <w:t xml:space="preserve">ażania </w:t>
      </w:r>
      <w:r w:rsidR="006A49CB" w:rsidRPr="002D04E1">
        <w:rPr>
          <w:rFonts w:ascii="Verdana" w:hAnsi="Verdana" w:cs="Arial"/>
          <w:bCs/>
          <w:sz w:val="24"/>
          <w:szCs w:val="24"/>
        </w:rPr>
        <w:t>dyrektywy Parlamentu Europejskiego i Rady 2019/1023 z dnia 20 czerwca 2019 r.</w:t>
      </w:r>
      <w:r w:rsidR="005241AC" w:rsidRPr="002E122B">
        <w:rPr>
          <w:rFonts w:ascii="Verdana" w:hAnsi="Verdana"/>
          <w:sz w:val="24"/>
          <w:szCs w:val="24"/>
        </w:rPr>
        <w:t xml:space="preserve"> </w:t>
      </w:r>
      <w:r w:rsidR="005241AC" w:rsidRPr="002D04E1">
        <w:rPr>
          <w:rFonts w:ascii="Verdana" w:hAnsi="Verdana" w:cs="Arial"/>
          <w:bCs/>
          <w:sz w:val="24"/>
          <w:szCs w:val="24"/>
        </w:rPr>
        <w:t>w sprawie ram restrukturyzacji zapobiegawczej, umorzenia długów i zakazów prowadzenia działalności oraz w sprawie środków zwiększających skuteczność postępowań dotyczących restrukturyzacji, niewypłacalności i umorzenia długów, a także zmieniającej dyrektywę (UE) 2017/1132 (dyrektywa o restrukturyzacji i upadłości)</w:t>
      </w:r>
      <w:r w:rsidR="00C17530" w:rsidRPr="002D04E1">
        <w:rPr>
          <w:rFonts w:ascii="Verdana" w:hAnsi="Verdana" w:cs="Arial"/>
          <w:bCs/>
          <w:sz w:val="24"/>
          <w:szCs w:val="24"/>
        </w:rPr>
        <w:t>, w zakresie realizacji art. 3</w:t>
      </w:r>
      <w:r w:rsidR="00756DA2" w:rsidRPr="002D04E1">
        <w:rPr>
          <w:rFonts w:ascii="Verdana" w:hAnsi="Verdana" w:cs="Arial"/>
          <w:bCs/>
          <w:sz w:val="24"/>
          <w:szCs w:val="24"/>
        </w:rPr>
        <w:t xml:space="preserve"> ww. dyrektywy</w:t>
      </w:r>
      <w:r w:rsidRPr="002D04E1">
        <w:rPr>
          <w:rStyle w:val="Odwoanieprzypisudolnego"/>
          <w:rFonts w:ascii="Verdana" w:hAnsi="Verdana" w:cs="Arial"/>
          <w:bCs/>
          <w:sz w:val="24"/>
          <w:szCs w:val="24"/>
        </w:rPr>
        <w:footnoteReference w:id="7"/>
      </w:r>
      <w:r w:rsidR="00756DA2" w:rsidRPr="002D04E1">
        <w:rPr>
          <w:rFonts w:ascii="Verdana" w:hAnsi="Verdana" w:cs="Arial"/>
          <w:bCs/>
          <w:sz w:val="24"/>
          <w:szCs w:val="24"/>
        </w:rPr>
        <w:t>.</w:t>
      </w:r>
    </w:p>
    <w:p w14:paraId="3B197600" w14:textId="77F019DC" w:rsidR="00CA52AA" w:rsidRPr="002D04E1" w:rsidRDefault="00CA52AA"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Komisja Europejska od 2014 r. wspiera przedsięwzięcia, których celem jest wypracowanie ogólnoeuropejskich mechanizmów wsparcia przedsiębiorców – w postaci narzędzi ostrzegawczych o nadchodzącym kryzysie, a także metod wsparcia w stanie kryzysu. Szczególne miejsce w praktycznie wykorzystywanych modelach zajął model Early Warning. </w:t>
      </w:r>
    </w:p>
    <w:p w14:paraId="5AD0C33A" w14:textId="77777777" w:rsidR="00CA52AA" w:rsidRPr="002D04E1" w:rsidRDefault="00CA52AA"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Duński model wsparcia przedsiębiorców w trudnościach stał się referencyjnym dla uchwalenia dyrektywy Parlamentu Europejskiego i Rady 2019/1023 z dnia 20 czerwca 2019 r. </w:t>
      </w:r>
    </w:p>
    <w:p w14:paraId="15DE711F" w14:textId="339EE5D1" w:rsidR="00CA52AA" w:rsidRPr="002D04E1" w:rsidRDefault="00CA52AA" w:rsidP="00530D9C">
      <w:pPr>
        <w:spacing w:before="120" w:after="120" w:line="360" w:lineRule="auto"/>
        <w:rPr>
          <w:rFonts w:ascii="Verdana" w:hAnsi="Verdana" w:cs="Arial"/>
          <w:bCs/>
          <w:sz w:val="24"/>
          <w:szCs w:val="24"/>
        </w:rPr>
      </w:pPr>
      <w:r w:rsidRPr="002D04E1">
        <w:rPr>
          <w:rFonts w:ascii="Verdana" w:hAnsi="Verdana" w:cs="Arial"/>
          <w:bCs/>
          <w:sz w:val="24"/>
          <w:szCs w:val="24"/>
        </w:rPr>
        <w:lastRenderedPageBreak/>
        <w:t xml:space="preserve">Z inicjatywy Unii Europejskiej powołano Early Warning Europe Mentor Academy (EWEMA), przedsięwzięcie, którego celem było powołanie europejskiej grupy mentorów pracujących z firmami w kryzysie oraz opracowanie systemu przygotowywania </w:t>
      </w:r>
      <w:r w:rsidR="00721404">
        <w:rPr>
          <w:rFonts w:ascii="Verdana" w:hAnsi="Verdana" w:cs="Arial"/>
          <w:bCs/>
          <w:sz w:val="24"/>
          <w:szCs w:val="24"/>
        </w:rPr>
        <w:t>osób</w:t>
      </w:r>
      <w:r w:rsidRPr="002D04E1">
        <w:rPr>
          <w:rFonts w:ascii="Verdana" w:hAnsi="Verdana" w:cs="Arial"/>
          <w:bCs/>
          <w:sz w:val="24"/>
          <w:szCs w:val="24"/>
        </w:rPr>
        <w:t xml:space="preserve"> do tej roli. Obecnie, </w:t>
      </w:r>
      <w:r w:rsidR="00564258" w:rsidRPr="002D04E1">
        <w:rPr>
          <w:rFonts w:ascii="Verdana" w:hAnsi="Verdana" w:cs="Arial"/>
          <w:bCs/>
          <w:sz w:val="24"/>
          <w:szCs w:val="24"/>
        </w:rPr>
        <w:br/>
      </w:r>
      <w:r w:rsidRPr="002D04E1">
        <w:rPr>
          <w:rFonts w:ascii="Verdana" w:hAnsi="Verdana" w:cs="Arial"/>
          <w:bCs/>
          <w:sz w:val="24"/>
          <w:szCs w:val="24"/>
        </w:rPr>
        <w:t xml:space="preserve">wg danych stowarzyszenia Early Warning Network, którego członkiem jest Polska Agencja Rozwoju Przedsiębiorczości, w Europie działa ok. 1,2 tys. mentorów firm w kryzysie. </w:t>
      </w:r>
    </w:p>
    <w:p w14:paraId="73AC7BE2" w14:textId="2A1DB34F" w:rsidR="00CA52AA" w:rsidRPr="002D04E1" w:rsidRDefault="00CA52AA" w:rsidP="00530D9C">
      <w:pPr>
        <w:spacing w:before="120" w:after="120" w:line="360" w:lineRule="auto"/>
        <w:rPr>
          <w:rFonts w:ascii="Verdana" w:hAnsi="Verdana" w:cs="Arial"/>
          <w:bCs/>
          <w:sz w:val="24"/>
          <w:szCs w:val="24"/>
        </w:rPr>
      </w:pPr>
      <w:r w:rsidRPr="002D04E1">
        <w:rPr>
          <w:rFonts w:ascii="Verdana" w:hAnsi="Verdana" w:cs="Arial"/>
          <w:bCs/>
          <w:sz w:val="24"/>
          <w:szCs w:val="24"/>
        </w:rPr>
        <w:t>Realizacja projektu jest zbieżna z jedną z rekomendacji EWEMA</w:t>
      </w:r>
      <w:r w:rsidRPr="002D04E1">
        <w:rPr>
          <w:rStyle w:val="Odwoanieprzypisudolnego"/>
          <w:rFonts w:ascii="Verdana" w:hAnsi="Verdana" w:cs="Arial"/>
          <w:bCs/>
          <w:sz w:val="24"/>
          <w:szCs w:val="24"/>
        </w:rPr>
        <w:footnoteReference w:id="8"/>
      </w:r>
      <w:r w:rsidRPr="002D04E1">
        <w:rPr>
          <w:rFonts w:ascii="Verdana" w:hAnsi="Verdana" w:cs="Arial"/>
          <w:bCs/>
          <w:sz w:val="24"/>
          <w:szCs w:val="24"/>
        </w:rPr>
        <w:t>, która mówi o uznaniu i włączeniu m</w:t>
      </w:r>
      <w:r w:rsidR="00835CE4" w:rsidRPr="002D04E1">
        <w:rPr>
          <w:rFonts w:ascii="Verdana" w:hAnsi="Verdana" w:cs="Arial"/>
          <w:bCs/>
          <w:sz w:val="24"/>
          <w:szCs w:val="24"/>
        </w:rPr>
        <w:t xml:space="preserve">entoringu </w:t>
      </w:r>
      <w:r w:rsidRPr="002D04E1">
        <w:rPr>
          <w:rFonts w:ascii="Verdana" w:hAnsi="Verdana" w:cs="Arial"/>
          <w:bCs/>
          <w:sz w:val="24"/>
          <w:szCs w:val="24"/>
        </w:rPr>
        <w:t>do systemu wsparcia publicznego i wczesnego ostrzegania w ramach wdrażania art. 3 dyrektywy Parlamentu Europejskiego i Rady 2019/1023.</w:t>
      </w:r>
    </w:p>
    <w:p w14:paraId="101D5F60" w14:textId="74DE351E" w:rsidR="00B9138E" w:rsidRPr="002D04E1" w:rsidRDefault="00965545"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PARP posiada doświadczenia we wdrażaniu programów skierowanych do przedsiębiorców z sektora MŚP. PARP posiada wiedzę i doświadczenie instytucjonalne w </w:t>
      </w:r>
      <w:r w:rsidRPr="002D04E1">
        <w:rPr>
          <w:rFonts w:ascii="Verdana" w:hAnsi="Verdana" w:cstheme="minorHAnsi"/>
          <w:bCs/>
          <w:sz w:val="24"/>
          <w:szCs w:val="24"/>
        </w:rPr>
        <w:t>zakresie wsparcia grupy przedsiębiorców w trudnościach.</w:t>
      </w:r>
      <w:r w:rsidR="0001213F">
        <w:rPr>
          <w:rFonts w:ascii="Verdana" w:hAnsi="Verdana" w:cstheme="minorHAnsi"/>
          <w:bCs/>
          <w:sz w:val="24"/>
          <w:szCs w:val="24"/>
        </w:rPr>
        <w:t xml:space="preserve"> </w:t>
      </w:r>
      <w:r w:rsidR="00B9138E">
        <w:rPr>
          <w:rFonts w:ascii="Verdana" w:hAnsi="Verdana" w:cstheme="minorHAnsi"/>
          <w:bCs/>
          <w:sz w:val="24"/>
          <w:szCs w:val="24"/>
        </w:rPr>
        <w:t xml:space="preserve">Proponowane przedsięwzięcie </w:t>
      </w:r>
      <w:r w:rsidR="0001213F">
        <w:rPr>
          <w:rFonts w:ascii="Verdana" w:hAnsi="Verdana" w:cstheme="minorHAnsi"/>
          <w:bCs/>
          <w:sz w:val="24"/>
          <w:szCs w:val="24"/>
        </w:rPr>
        <w:t>będzie</w:t>
      </w:r>
      <w:r w:rsidR="00B9138E">
        <w:rPr>
          <w:rFonts w:ascii="Verdana" w:hAnsi="Verdana" w:cstheme="minorHAnsi"/>
          <w:bCs/>
          <w:sz w:val="24"/>
          <w:szCs w:val="24"/>
        </w:rPr>
        <w:t xml:space="preserve"> komplementarne z </w:t>
      </w:r>
      <w:r w:rsidR="00E91B84">
        <w:rPr>
          <w:rFonts w:ascii="Verdana" w:hAnsi="Verdana" w:cstheme="minorHAnsi"/>
          <w:bCs/>
          <w:sz w:val="24"/>
          <w:szCs w:val="24"/>
        </w:rPr>
        <w:t xml:space="preserve"> </w:t>
      </w:r>
      <w:r w:rsidR="00FB427C">
        <w:rPr>
          <w:rFonts w:ascii="Verdana" w:hAnsi="Verdana" w:cstheme="minorHAnsi"/>
          <w:bCs/>
          <w:sz w:val="24"/>
          <w:szCs w:val="24"/>
        </w:rPr>
        <w:t xml:space="preserve"> systemem</w:t>
      </w:r>
      <w:r w:rsidR="005C2E18">
        <w:rPr>
          <w:rFonts w:ascii="Verdana" w:hAnsi="Verdana" w:cstheme="minorHAnsi"/>
          <w:bCs/>
          <w:sz w:val="24"/>
          <w:szCs w:val="24"/>
        </w:rPr>
        <w:t xml:space="preserve"> rad </w:t>
      </w:r>
      <w:r w:rsidR="00E91B84">
        <w:rPr>
          <w:rFonts w:ascii="Verdana" w:hAnsi="Verdana" w:cstheme="minorHAnsi"/>
          <w:bCs/>
          <w:sz w:val="24"/>
          <w:szCs w:val="24"/>
        </w:rPr>
        <w:t xml:space="preserve">sektorowych </w:t>
      </w:r>
      <w:r w:rsidR="005C2E18">
        <w:rPr>
          <w:rFonts w:ascii="Verdana" w:hAnsi="Verdana" w:cstheme="minorHAnsi"/>
          <w:bCs/>
          <w:sz w:val="24"/>
          <w:szCs w:val="24"/>
        </w:rPr>
        <w:t xml:space="preserve">ds. </w:t>
      </w:r>
      <w:r w:rsidR="00A4581C">
        <w:rPr>
          <w:rFonts w:ascii="Verdana" w:hAnsi="Verdana" w:cstheme="minorHAnsi"/>
          <w:bCs/>
          <w:sz w:val="24"/>
          <w:szCs w:val="24"/>
        </w:rPr>
        <w:t>k</w:t>
      </w:r>
      <w:r w:rsidR="005C2E18" w:rsidRPr="005C2E18">
        <w:rPr>
          <w:rFonts w:ascii="Verdana" w:hAnsi="Verdana" w:cstheme="minorHAnsi"/>
          <w:bCs/>
          <w:sz w:val="24"/>
          <w:szCs w:val="24"/>
        </w:rPr>
        <w:t>ompetencji</w:t>
      </w:r>
      <w:r w:rsidR="0001213F">
        <w:rPr>
          <w:rFonts w:ascii="Verdana" w:hAnsi="Verdana" w:cstheme="minorHAnsi"/>
          <w:bCs/>
          <w:sz w:val="24"/>
          <w:szCs w:val="24"/>
        </w:rPr>
        <w:t>. Beneficjent</w:t>
      </w:r>
      <w:r w:rsidR="00064BBD">
        <w:rPr>
          <w:rFonts w:ascii="Verdana" w:hAnsi="Verdana" w:cstheme="minorHAnsi"/>
          <w:bCs/>
          <w:sz w:val="24"/>
          <w:szCs w:val="24"/>
        </w:rPr>
        <w:t>,</w:t>
      </w:r>
      <w:r w:rsidR="0001213F">
        <w:rPr>
          <w:rFonts w:ascii="Verdana" w:hAnsi="Verdana" w:cstheme="minorHAnsi"/>
          <w:bCs/>
          <w:sz w:val="24"/>
          <w:szCs w:val="24"/>
        </w:rPr>
        <w:t xml:space="preserve"> </w:t>
      </w:r>
      <w:r w:rsidR="00064BBD">
        <w:rPr>
          <w:rFonts w:ascii="Verdana" w:hAnsi="Verdana" w:cstheme="minorHAnsi"/>
          <w:bCs/>
          <w:sz w:val="24"/>
          <w:szCs w:val="24"/>
        </w:rPr>
        <w:t xml:space="preserve">po konsultacji z IK EFS, </w:t>
      </w:r>
      <w:r w:rsidR="0001213F">
        <w:rPr>
          <w:rFonts w:ascii="Verdana" w:hAnsi="Verdana" w:cstheme="minorHAnsi"/>
          <w:bCs/>
          <w:sz w:val="24"/>
          <w:szCs w:val="24"/>
        </w:rPr>
        <w:t>w okresie realizacji przedsięwzięcia może określić preferowany sektor lub sektory gospodarki w ramach niniejszego projektu</w:t>
      </w:r>
      <w:r w:rsidR="00064BBD">
        <w:rPr>
          <w:rFonts w:ascii="Verdana" w:hAnsi="Verdana" w:cstheme="minorHAnsi"/>
          <w:bCs/>
          <w:sz w:val="24"/>
          <w:szCs w:val="24"/>
        </w:rPr>
        <w:t>,</w:t>
      </w:r>
      <w:r w:rsidR="0001213F">
        <w:rPr>
          <w:rFonts w:ascii="Verdana" w:hAnsi="Verdana" w:cstheme="minorHAnsi"/>
          <w:bCs/>
          <w:sz w:val="24"/>
          <w:szCs w:val="24"/>
        </w:rPr>
        <w:t xml:space="preserve"> o ile taka potrzeba będzie wynikać z określonej polityki publicznej</w:t>
      </w:r>
      <w:r w:rsidR="00E91B84">
        <w:rPr>
          <w:rFonts w:ascii="Verdana" w:hAnsi="Verdana" w:cstheme="minorHAnsi"/>
          <w:bCs/>
          <w:sz w:val="24"/>
          <w:szCs w:val="24"/>
        </w:rPr>
        <w:t xml:space="preserve"> lub diagnozy sytuacji w obszarze objętym działaniem rad sektorowych</w:t>
      </w:r>
      <w:r w:rsidR="0001213F">
        <w:rPr>
          <w:rFonts w:ascii="Verdana" w:hAnsi="Verdana" w:cstheme="minorHAnsi"/>
          <w:bCs/>
          <w:sz w:val="24"/>
          <w:szCs w:val="24"/>
        </w:rPr>
        <w:t xml:space="preserve">. </w:t>
      </w:r>
    </w:p>
    <w:p w14:paraId="589EC264" w14:textId="15BC0677" w:rsidR="00107D55" w:rsidRPr="002D04E1" w:rsidRDefault="00107D55" w:rsidP="001F2901">
      <w:pPr>
        <w:pStyle w:val="Nagwek2"/>
      </w:pPr>
      <w:r w:rsidRPr="002D04E1">
        <w:t xml:space="preserve">Główne zadania przewidziane do realizacji w projekcie, </w:t>
      </w:r>
      <w:r w:rsidR="00742416" w:rsidRPr="002D04E1">
        <w:t>ze wskazaniem: grup docelowych, planowanych terminów realizacji zadań oraz szacunkowych kosztów ich realizacji (w tym jako % budżetu projektu (kosztów bezpośrednich)</w:t>
      </w:r>
      <w:r w:rsidR="00B76D5E" w:rsidRPr="002E122B">
        <w:t xml:space="preserve">. </w:t>
      </w:r>
    </w:p>
    <w:p w14:paraId="05333FBA" w14:textId="7A30FB10" w:rsidR="00FE0966" w:rsidRPr="002D04E1" w:rsidRDefault="00FE0966" w:rsidP="00530D9C">
      <w:pPr>
        <w:spacing w:before="120" w:after="120" w:line="360" w:lineRule="auto"/>
        <w:rPr>
          <w:rFonts w:ascii="Verdana" w:hAnsi="Verdana" w:cs="Arial"/>
          <w:bCs/>
          <w:sz w:val="24"/>
          <w:szCs w:val="24"/>
        </w:rPr>
      </w:pPr>
      <w:bookmarkStart w:id="1" w:name="_Hlk128057179"/>
      <w:r w:rsidRPr="002D04E1">
        <w:rPr>
          <w:rFonts w:ascii="Verdana" w:hAnsi="Verdana" w:cs="Arial"/>
          <w:bCs/>
          <w:sz w:val="24"/>
          <w:szCs w:val="24"/>
        </w:rPr>
        <w:t xml:space="preserve">W ramach projektu planowana jest realizacja </w:t>
      </w:r>
      <w:r w:rsidR="0011003D" w:rsidRPr="002D04E1">
        <w:rPr>
          <w:rFonts w:ascii="Verdana" w:hAnsi="Verdana" w:cs="Arial"/>
          <w:bCs/>
          <w:sz w:val="24"/>
          <w:szCs w:val="24"/>
        </w:rPr>
        <w:t xml:space="preserve">2 </w:t>
      </w:r>
      <w:r w:rsidRPr="002D04E1">
        <w:rPr>
          <w:rFonts w:ascii="Verdana" w:hAnsi="Verdana" w:cs="Arial"/>
          <w:bCs/>
          <w:sz w:val="24"/>
          <w:szCs w:val="24"/>
        </w:rPr>
        <w:t>zadań</w:t>
      </w:r>
      <w:r w:rsidR="0011003D" w:rsidRPr="002D04E1">
        <w:rPr>
          <w:rFonts w:ascii="Verdana" w:hAnsi="Verdana" w:cs="Arial"/>
          <w:bCs/>
          <w:sz w:val="24"/>
          <w:szCs w:val="24"/>
        </w:rPr>
        <w:t>.</w:t>
      </w:r>
    </w:p>
    <w:p w14:paraId="5431579B" w14:textId="0F2E9BC7" w:rsidR="000257C7" w:rsidRPr="002D04E1" w:rsidRDefault="00F35853" w:rsidP="00530D9C">
      <w:pPr>
        <w:pStyle w:val="Akapitzlist"/>
        <w:numPr>
          <w:ilvl w:val="0"/>
          <w:numId w:val="23"/>
        </w:numPr>
        <w:spacing w:before="120" w:after="120" w:line="360" w:lineRule="auto"/>
        <w:contextualSpacing w:val="0"/>
        <w:rPr>
          <w:rFonts w:ascii="Verdana" w:hAnsi="Verdana" w:cs="Arial"/>
          <w:bCs/>
          <w:sz w:val="24"/>
          <w:szCs w:val="24"/>
        </w:rPr>
      </w:pPr>
      <w:bookmarkStart w:id="2" w:name="_Hlk129785074"/>
      <w:r w:rsidRPr="002E122B">
        <w:rPr>
          <w:rFonts w:ascii="Verdana" w:hAnsi="Verdana" w:cs="Arial"/>
          <w:b/>
          <w:sz w:val="24"/>
          <w:szCs w:val="24"/>
        </w:rPr>
        <w:lastRenderedPageBreak/>
        <w:t>Zadanie -</w:t>
      </w:r>
      <w:r w:rsidR="0011003D" w:rsidRPr="002E122B">
        <w:rPr>
          <w:rFonts w:ascii="Verdana" w:hAnsi="Verdana" w:cs="Arial"/>
          <w:b/>
          <w:sz w:val="24"/>
          <w:szCs w:val="24"/>
        </w:rPr>
        <w:t xml:space="preserve"> </w:t>
      </w:r>
      <w:r w:rsidR="000257C7" w:rsidRPr="002E122B">
        <w:rPr>
          <w:rFonts w:ascii="Verdana" w:hAnsi="Verdana" w:cs="Arial"/>
          <w:b/>
          <w:sz w:val="24"/>
          <w:szCs w:val="24"/>
        </w:rPr>
        <w:t>Mentoring dla firm w trudnościach</w:t>
      </w:r>
      <w:r w:rsidR="00970077" w:rsidRPr="002D04E1">
        <w:rPr>
          <w:rFonts w:ascii="Verdana" w:hAnsi="Verdana" w:cs="Arial"/>
          <w:bCs/>
          <w:sz w:val="24"/>
          <w:szCs w:val="24"/>
        </w:rPr>
        <w:t xml:space="preserve"> – czas realizacji 4</w:t>
      </w:r>
      <w:r w:rsidR="00D25D12" w:rsidRPr="002D04E1">
        <w:rPr>
          <w:rFonts w:ascii="Verdana" w:hAnsi="Verdana" w:cs="Arial"/>
          <w:bCs/>
          <w:sz w:val="24"/>
          <w:szCs w:val="24"/>
        </w:rPr>
        <w:t>8</w:t>
      </w:r>
      <w:r w:rsidR="00970077" w:rsidRPr="002D04E1">
        <w:rPr>
          <w:rFonts w:ascii="Verdana" w:hAnsi="Verdana" w:cs="Arial"/>
          <w:bCs/>
          <w:sz w:val="24"/>
          <w:szCs w:val="24"/>
        </w:rPr>
        <w:t xml:space="preserve"> miesięcy, </w:t>
      </w:r>
      <w:r w:rsidR="00DB6FA7" w:rsidRPr="002D04E1">
        <w:rPr>
          <w:rFonts w:ascii="Verdana" w:hAnsi="Verdana" w:cs="Arial"/>
          <w:bCs/>
          <w:sz w:val="24"/>
          <w:szCs w:val="24"/>
        </w:rPr>
        <w:t>90</w:t>
      </w:r>
      <w:r w:rsidR="00970077" w:rsidRPr="002D04E1">
        <w:rPr>
          <w:rFonts w:ascii="Verdana" w:hAnsi="Verdana" w:cs="Arial"/>
          <w:bCs/>
          <w:sz w:val="24"/>
          <w:szCs w:val="24"/>
        </w:rPr>
        <w:t>% wartości budżetu</w:t>
      </w:r>
      <w:r w:rsidR="00870AF6" w:rsidRPr="002D04E1">
        <w:rPr>
          <w:rFonts w:ascii="Verdana" w:hAnsi="Verdana" w:cs="Arial"/>
          <w:bCs/>
          <w:sz w:val="24"/>
          <w:szCs w:val="24"/>
        </w:rPr>
        <w:t>.</w:t>
      </w:r>
    </w:p>
    <w:bookmarkEnd w:id="2"/>
    <w:p w14:paraId="7B03017B" w14:textId="77777777" w:rsidR="00627CA6" w:rsidRPr="002E122B" w:rsidRDefault="00627CA6" w:rsidP="00530D9C">
      <w:pPr>
        <w:spacing w:before="120" w:after="120" w:line="360" w:lineRule="auto"/>
        <w:rPr>
          <w:rFonts w:ascii="Verdana" w:hAnsi="Verdana" w:cs="Arial"/>
          <w:b/>
          <w:sz w:val="24"/>
          <w:szCs w:val="24"/>
        </w:rPr>
      </w:pPr>
      <w:r w:rsidRPr="002E122B">
        <w:rPr>
          <w:rFonts w:ascii="Verdana" w:hAnsi="Verdana" w:cs="Arial"/>
          <w:b/>
          <w:sz w:val="24"/>
          <w:szCs w:val="24"/>
        </w:rPr>
        <w:t xml:space="preserve">Zadanie będzie realizowane w 3 modułach. </w:t>
      </w:r>
    </w:p>
    <w:p w14:paraId="65B35727" w14:textId="15D65E79" w:rsidR="0061310B" w:rsidRPr="002E122B" w:rsidRDefault="00965545" w:rsidP="00530D9C">
      <w:pPr>
        <w:spacing w:before="120" w:after="120" w:line="360" w:lineRule="auto"/>
        <w:rPr>
          <w:rFonts w:ascii="Verdana" w:hAnsi="Verdana" w:cs="Arial"/>
          <w:bCs/>
          <w:sz w:val="24"/>
          <w:szCs w:val="24"/>
        </w:rPr>
      </w:pPr>
      <w:r w:rsidRPr="002E122B">
        <w:rPr>
          <w:rFonts w:ascii="Verdana" w:hAnsi="Verdana" w:cs="Arial"/>
          <w:b/>
          <w:sz w:val="24"/>
          <w:szCs w:val="24"/>
        </w:rPr>
        <w:t>Moduł 1.</w:t>
      </w:r>
      <w:r w:rsidRPr="002E122B">
        <w:rPr>
          <w:rFonts w:ascii="Verdana" w:hAnsi="Verdana" w:cs="Arial"/>
          <w:bCs/>
          <w:sz w:val="24"/>
          <w:szCs w:val="24"/>
        </w:rPr>
        <w:t xml:space="preserve">  </w:t>
      </w:r>
      <w:r w:rsidR="00F35853" w:rsidRPr="00C6485A">
        <w:rPr>
          <w:rFonts w:ascii="Verdana" w:hAnsi="Verdana" w:cs="Arial"/>
          <w:b/>
          <w:sz w:val="24"/>
          <w:szCs w:val="24"/>
        </w:rPr>
        <w:t>- działania</w:t>
      </w:r>
      <w:r w:rsidR="000257C7" w:rsidRPr="002E122B">
        <w:rPr>
          <w:rFonts w:ascii="Verdana" w:hAnsi="Verdana" w:cs="Arial"/>
          <w:b/>
          <w:sz w:val="24"/>
          <w:szCs w:val="24"/>
        </w:rPr>
        <w:t xml:space="preserve"> o charakterze szkoleniowym, przygotowujące do roli mentora</w:t>
      </w:r>
      <w:r w:rsidR="001925DF" w:rsidRPr="002D04E1">
        <w:rPr>
          <w:rFonts w:ascii="Verdana" w:hAnsi="Verdana" w:cs="Arial"/>
          <w:b/>
          <w:sz w:val="24"/>
          <w:szCs w:val="24"/>
        </w:rPr>
        <w:t>.</w:t>
      </w:r>
    </w:p>
    <w:p w14:paraId="2893753E" w14:textId="564992C9" w:rsidR="00153118" w:rsidRPr="002D04E1" w:rsidRDefault="00DB6FA7" w:rsidP="00530D9C">
      <w:pPr>
        <w:spacing w:before="120" w:after="120" w:line="360" w:lineRule="auto"/>
        <w:rPr>
          <w:rFonts w:ascii="Verdana" w:hAnsi="Verdana" w:cs="Arial"/>
          <w:bCs/>
          <w:sz w:val="24"/>
          <w:szCs w:val="24"/>
        </w:rPr>
      </w:pPr>
      <w:r w:rsidRPr="002E122B">
        <w:rPr>
          <w:rFonts w:ascii="Verdana" w:hAnsi="Verdana" w:cs="Arial"/>
          <w:bCs/>
          <w:sz w:val="24"/>
          <w:szCs w:val="24"/>
        </w:rPr>
        <w:t xml:space="preserve">Ideą tej formy wsparcia jest zaangażowanie do roli mentora doświadczonych przedsiębiorców lub z doświadczeniem w zakresie zarządzania (na szczeblu kierowniczym) w prowadzeniu firmy, którzy posiadają doświadczenie radzenia sobie w sytuacjach kryzysowych lub </w:t>
      </w:r>
      <w:r w:rsidR="00F35853" w:rsidRPr="002E122B">
        <w:rPr>
          <w:rFonts w:ascii="Verdana" w:hAnsi="Verdana" w:cs="Arial"/>
          <w:bCs/>
          <w:sz w:val="24"/>
          <w:szCs w:val="24"/>
        </w:rPr>
        <w:t>też doświadczyli</w:t>
      </w:r>
      <w:r w:rsidRPr="002E122B">
        <w:rPr>
          <w:rFonts w:ascii="Verdana" w:hAnsi="Verdana" w:cs="Arial"/>
          <w:bCs/>
          <w:sz w:val="24"/>
          <w:szCs w:val="24"/>
        </w:rPr>
        <w:t xml:space="preserve"> porażki biznesowej. Kluczową siłą mentora jest wiedza oparta na doświadczeniu oraz umiejętność obiektywnego spojrzenia na sytuację w firmie, czego często nie mogą dokonać przedsiębiorcy głęboko zaangażowani w działalność swojej firmy. Aby wykonywać taką pracę opartą na zasadach empatii, szacunku, profesjonalizmu i rzetelności, wymagane jest przygotowanie osoby dotąd decyzyjnej, zarządzającej do roli mentora – towarzysza przedsiębiorcy w jego kluczowych dla firmy decyzjach. </w:t>
      </w:r>
      <w:r w:rsidR="009D1FFC" w:rsidRPr="002E122B">
        <w:rPr>
          <w:rFonts w:ascii="Verdana" w:hAnsi="Verdana" w:cs="Arial"/>
          <w:bCs/>
          <w:sz w:val="24"/>
          <w:szCs w:val="24"/>
        </w:rPr>
        <w:t xml:space="preserve">Rolą mentora firmy w trudnościach nie jest doradztwo biznesowe, a wsparcie procesu podejmowania decyzji przez samego przedsiębiorcę. </w:t>
      </w:r>
    </w:p>
    <w:p w14:paraId="7BD44343" w14:textId="06F5D2A6" w:rsidR="005D3F39" w:rsidRDefault="00564258"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Przewidywane są szkolenia w formule e-learningu oraz warsztaty stacjonarne lub hybrydowe w grupach. </w:t>
      </w:r>
      <w:r w:rsidR="00153118" w:rsidRPr="002D04E1">
        <w:rPr>
          <w:rFonts w:ascii="Verdana" w:hAnsi="Verdana" w:cs="Arial"/>
          <w:bCs/>
          <w:sz w:val="24"/>
          <w:szCs w:val="24"/>
        </w:rPr>
        <w:t>Proces szkoleniowy będzie łączył teoretyczne przygotowanie z praktycznymi ćwiczeniami, case studies i symulacjami, które pozwolą uczestnikom</w:t>
      </w:r>
      <w:r w:rsidR="00C6485A">
        <w:rPr>
          <w:rFonts w:ascii="Verdana" w:hAnsi="Verdana" w:cs="Arial"/>
          <w:bCs/>
          <w:sz w:val="24"/>
          <w:szCs w:val="24"/>
        </w:rPr>
        <w:t xml:space="preserve"> i uczestniczkom</w:t>
      </w:r>
      <w:r w:rsidR="00153118" w:rsidRPr="002D04E1">
        <w:rPr>
          <w:rFonts w:ascii="Verdana" w:hAnsi="Verdana" w:cs="Arial"/>
          <w:bCs/>
          <w:sz w:val="24"/>
          <w:szCs w:val="24"/>
        </w:rPr>
        <w:t xml:space="preserve"> na lepsze zrozumienie problemów i wyzwań, z jakimi będą się spotykać, podejmując </w:t>
      </w:r>
      <w:r w:rsidRPr="002E122B">
        <w:rPr>
          <w:rFonts w:ascii="Verdana" w:hAnsi="Verdana" w:cs="Arial"/>
          <w:bCs/>
          <w:sz w:val="24"/>
          <w:szCs w:val="24"/>
        </w:rPr>
        <w:t xml:space="preserve">się </w:t>
      </w:r>
      <w:r w:rsidR="00153118" w:rsidRPr="002D04E1">
        <w:rPr>
          <w:rFonts w:ascii="Verdana" w:hAnsi="Verdana" w:cs="Arial"/>
          <w:bCs/>
          <w:sz w:val="24"/>
          <w:szCs w:val="24"/>
        </w:rPr>
        <w:t>rol</w:t>
      </w:r>
      <w:r w:rsidRPr="002E122B">
        <w:rPr>
          <w:rFonts w:ascii="Verdana" w:hAnsi="Verdana" w:cs="Arial"/>
          <w:bCs/>
          <w:sz w:val="24"/>
          <w:szCs w:val="24"/>
        </w:rPr>
        <w:t>i</w:t>
      </w:r>
      <w:r w:rsidR="00153118" w:rsidRPr="002D04E1">
        <w:rPr>
          <w:rFonts w:ascii="Verdana" w:hAnsi="Verdana" w:cs="Arial"/>
          <w:bCs/>
          <w:sz w:val="24"/>
          <w:szCs w:val="24"/>
        </w:rPr>
        <w:t xml:space="preserve"> mentora firm w kryzysie. </w:t>
      </w:r>
    </w:p>
    <w:p w14:paraId="4B69543E" w14:textId="77777777" w:rsidR="005D3F39" w:rsidRDefault="000257C7" w:rsidP="00530D9C">
      <w:pPr>
        <w:spacing w:before="120" w:after="120" w:line="360" w:lineRule="auto"/>
        <w:rPr>
          <w:rFonts w:ascii="Verdana" w:hAnsi="Verdana" w:cs="Arial"/>
          <w:bCs/>
          <w:sz w:val="24"/>
          <w:szCs w:val="24"/>
        </w:rPr>
      </w:pPr>
      <w:r w:rsidRPr="002E122B">
        <w:rPr>
          <w:rFonts w:ascii="Verdana" w:hAnsi="Verdana" w:cs="Arial"/>
          <w:bCs/>
          <w:sz w:val="24"/>
          <w:szCs w:val="24"/>
        </w:rPr>
        <w:t>W proces szkoleniowy będą wbudowane narzędzia wypracowane w Europie, dostępne w ramach EWE Community of Practice</w:t>
      </w:r>
      <w:r w:rsidR="00627CA6" w:rsidRPr="002E122B">
        <w:rPr>
          <w:rFonts w:ascii="Verdana" w:hAnsi="Verdana" w:cs="Arial"/>
          <w:bCs/>
          <w:sz w:val="24"/>
          <w:szCs w:val="24"/>
        </w:rPr>
        <w:t xml:space="preserve"> w szczególności kurs Early Warning Mentoring for SMEs, dostępny na stronie </w:t>
      </w:r>
      <w:hyperlink r:id="rId9" w:history="1">
        <w:r w:rsidR="00627CA6" w:rsidRPr="002D04E1">
          <w:rPr>
            <w:rStyle w:val="Hipercze"/>
            <w:rFonts w:ascii="Verdana" w:hAnsi="Verdana" w:cs="Arial"/>
            <w:bCs/>
            <w:sz w:val="24"/>
            <w:szCs w:val="24"/>
          </w:rPr>
          <w:t>https://academy.europa.eu/courses/early-warning-mentoring-for-smes</w:t>
        </w:r>
      </w:hyperlink>
      <w:r w:rsidR="001925DF" w:rsidRPr="002D04E1">
        <w:rPr>
          <w:rFonts w:ascii="Verdana" w:hAnsi="Verdana" w:cs="Arial"/>
          <w:bCs/>
          <w:sz w:val="24"/>
          <w:szCs w:val="24"/>
        </w:rPr>
        <w:t xml:space="preserve">, składający się </w:t>
      </w:r>
      <w:r w:rsidR="00153118" w:rsidRPr="002D04E1">
        <w:rPr>
          <w:rFonts w:ascii="Verdana" w:hAnsi="Verdana" w:cs="Arial"/>
          <w:bCs/>
          <w:sz w:val="24"/>
          <w:szCs w:val="24"/>
        </w:rPr>
        <w:t>z 4 modułów</w:t>
      </w:r>
      <w:r w:rsidR="001925DF" w:rsidRPr="002D04E1">
        <w:rPr>
          <w:rFonts w:ascii="Verdana" w:hAnsi="Verdana" w:cs="Arial"/>
          <w:bCs/>
          <w:sz w:val="24"/>
          <w:szCs w:val="24"/>
        </w:rPr>
        <w:t xml:space="preserve">: </w:t>
      </w:r>
    </w:p>
    <w:p w14:paraId="5E887CBA" w14:textId="77777777" w:rsidR="005D3F39" w:rsidRPr="005D3F39" w:rsidRDefault="001925DF" w:rsidP="00530D9C">
      <w:pPr>
        <w:pStyle w:val="Akapitzlist"/>
        <w:numPr>
          <w:ilvl w:val="0"/>
          <w:numId w:val="25"/>
        </w:numPr>
        <w:spacing w:before="120" w:after="120" w:line="360" w:lineRule="auto"/>
        <w:contextualSpacing w:val="0"/>
        <w:rPr>
          <w:rFonts w:ascii="Verdana" w:hAnsi="Verdana" w:cs="Arial"/>
          <w:bCs/>
          <w:sz w:val="24"/>
          <w:szCs w:val="24"/>
        </w:rPr>
      </w:pPr>
      <w:r w:rsidRPr="005D3F39">
        <w:rPr>
          <w:rFonts w:ascii="Verdana" w:hAnsi="Verdana" w:cs="Arial"/>
          <w:bCs/>
          <w:sz w:val="24"/>
          <w:szCs w:val="24"/>
        </w:rPr>
        <w:lastRenderedPageBreak/>
        <w:t xml:space="preserve">przygotowanie do pracy mentora - mentoring i zaangażowanie; </w:t>
      </w:r>
    </w:p>
    <w:p w14:paraId="050A7F35" w14:textId="77777777" w:rsidR="005D3F39" w:rsidRPr="005D3F39" w:rsidRDefault="001925DF" w:rsidP="00530D9C">
      <w:pPr>
        <w:pStyle w:val="Akapitzlist"/>
        <w:numPr>
          <w:ilvl w:val="0"/>
          <w:numId w:val="25"/>
        </w:numPr>
        <w:spacing w:before="120" w:after="120" w:line="360" w:lineRule="auto"/>
        <w:contextualSpacing w:val="0"/>
        <w:rPr>
          <w:rFonts w:ascii="Verdana" w:hAnsi="Verdana" w:cs="Arial"/>
          <w:bCs/>
          <w:sz w:val="24"/>
          <w:szCs w:val="24"/>
        </w:rPr>
      </w:pPr>
      <w:r w:rsidRPr="005D3F39">
        <w:rPr>
          <w:rFonts w:ascii="Verdana" w:hAnsi="Verdana" w:cs="Arial"/>
          <w:bCs/>
          <w:sz w:val="24"/>
          <w:szCs w:val="24"/>
        </w:rPr>
        <w:t xml:space="preserve">analiza problemów i zarządzanie zmianą; </w:t>
      </w:r>
    </w:p>
    <w:p w14:paraId="79CA2E0A" w14:textId="77777777" w:rsidR="005D3F39" w:rsidRPr="005D3F39" w:rsidRDefault="001925DF" w:rsidP="00530D9C">
      <w:pPr>
        <w:pStyle w:val="Akapitzlist"/>
        <w:numPr>
          <w:ilvl w:val="0"/>
          <w:numId w:val="25"/>
        </w:numPr>
        <w:spacing w:before="120" w:after="120" w:line="360" w:lineRule="auto"/>
        <w:contextualSpacing w:val="0"/>
        <w:rPr>
          <w:rFonts w:ascii="Verdana" w:hAnsi="Verdana" w:cs="Arial"/>
          <w:bCs/>
          <w:sz w:val="24"/>
          <w:szCs w:val="24"/>
        </w:rPr>
      </w:pPr>
      <w:r w:rsidRPr="005D3F39">
        <w:rPr>
          <w:rFonts w:ascii="Verdana" w:hAnsi="Verdana" w:cs="Arial"/>
          <w:bCs/>
          <w:sz w:val="24"/>
          <w:szCs w:val="24"/>
        </w:rPr>
        <w:t>planowanie i budowanie odporności firmy;</w:t>
      </w:r>
      <w:r w:rsidR="00153118" w:rsidRPr="005D3F39">
        <w:rPr>
          <w:rFonts w:ascii="Verdana" w:hAnsi="Verdana" w:cs="Arial"/>
          <w:bCs/>
          <w:sz w:val="24"/>
          <w:szCs w:val="24"/>
        </w:rPr>
        <w:t xml:space="preserve"> </w:t>
      </w:r>
    </w:p>
    <w:p w14:paraId="4C1A76C8" w14:textId="7EBED3A4" w:rsidR="001925DF" w:rsidRPr="005D3F39" w:rsidRDefault="00153118" w:rsidP="00530D9C">
      <w:pPr>
        <w:pStyle w:val="Akapitzlist"/>
        <w:numPr>
          <w:ilvl w:val="0"/>
          <w:numId w:val="25"/>
        </w:numPr>
        <w:spacing w:before="120" w:after="120" w:line="360" w:lineRule="auto"/>
        <w:contextualSpacing w:val="0"/>
        <w:rPr>
          <w:rFonts w:ascii="Verdana" w:hAnsi="Verdana" w:cs="Arial"/>
          <w:bCs/>
          <w:sz w:val="24"/>
          <w:szCs w:val="24"/>
        </w:rPr>
      </w:pPr>
      <w:r w:rsidRPr="005D3F39">
        <w:rPr>
          <w:rFonts w:ascii="Verdana" w:hAnsi="Verdana" w:cs="Arial"/>
          <w:bCs/>
          <w:sz w:val="24"/>
          <w:szCs w:val="24"/>
        </w:rPr>
        <w:t xml:space="preserve">gotowość do roli mentora. </w:t>
      </w:r>
    </w:p>
    <w:p w14:paraId="78B472C9" w14:textId="56582920" w:rsidR="0061310B" w:rsidRPr="002D04E1" w:rsidRDefault="009F616B" w:rsidP="00530D9C">
      <w:pPr>
        <w:spacing w:before="120" w:after="120" w:line="360" w:lineRule="auto"/>
        <w:rPr>
          <w:rFonts w:ascii="Verdana" w:hAnsi="Verdana" w:cs="Arial"/>
          <w:bCs/>
          <w:sz w:val="24"/>
          <w:szCs w:val="24"/>
        </w:rPr>
      </w:pPr>
      <w:r w:rsidRPr="002E122B">
        <w:rPr>
          <w:rFonts w:ascii="Verdana" w:hAnsi="Verdana" w:cs="Arial"/>
          <w:bCs/>
          <w:sz w:val="24"/>
          <w:szCs w:val="24"/>
        </w:rPr>
        <w:t xml:space="preserve">Projekt przewiduje również </w:t>
      </w:r>
      <w:r w:rsidRPr="005D3F39">
        <w:rPr>
          <w:rFonts w:ascii="Verdana" w:hAnsi="Verdana" w:cs="Arial"/>
          <w:bCs/>
          <w:sz w:val="24"/>
          <w:szCs w:val="24"/>
        </w:rPr>
        <w:t>s</w:t>
      </w:r>
      <w:r w:rsidR="009D1FFC" w:rsidRPr="005D3F39">
        <w:rPr>
          <w:rFonts w:ascii="Verdana" w:hAnsi="Verdana" w:cs="Arial"/>
          <w:bCs/>
          <w:sz w:val="24"/>
          <w:szCs w:val="24"/>
        </w:rPr>
        <w:t>zkolenia uzupełniające</w:t>
      </w:r>
      <w:r w:rsidR="009D1FFC" w:rsidRPr="002D04E1">
        <w:rPr>
          <w:rFonts w:ascii="Verdana" w:hAnsi="Verdana" w:cs="Arial"/>
          <w:bCs/>
          <w:sz w:val="24"/>
          <w:szCs w:val="24"/>
        </w:rPr>
        <w:t xml:space="preserve"> kierowane do przedsiębiorców, którzy uzyskali przygotowanie do roli mentora firm w kryzysie w ramach innych programów</w:t>
      </w:r>
      <w:r w:rsidR="006B0251" w:rsidRPr="002D04E1">
        <w:rPr>
          <w:rFonts w:ascii="Verdana" w:hAnsi="Verdana" w:cs="Arial"/>
          <w:bCs/>
          <w:sz w:val="24"/>
          <w:szCs w:val="24"/>
        </w:rPr>
        <w:t xml:space="preserve"> lub </w:t>
      </w:r>
      <w:r w:rsidR="009D1FFC" w:rsidRPr="002D04E1">
        <w:rPr>
          <w:rFonts w:ascii="Verdana" w:hAnsi="Verdana" w:cs="Arial"/>
          <w:bCs/>
          <w:sz w:val="24"/>
          <w:szCs w:val="24"/>
        </w:rPr>
        <w:t>przedsięwzięć szkoleniowych</w:t>
      </w:r>
      <w:r w:rsidR="0061310B" w:rsidRPr="002D04E1">
        <w:rPr>
          <w:rFonts w:ascii="Verdana" w:hAnsi="Verdana" w:cs="Arial"/>
          <w:bCs/>
          <w:sz w:val="24"/>
          <w:szCs w:val="24"/>
        </w:rPr>
        <w:t>.</w:t>
      </w:r>
      <w:r w:rsidR="009D1FFC" w:rsidRPr="002D04E1">
        <w:rPr>
          <w:rFonts w:ascii="Verdana" w:hAnsi="Verdana" w:cs="Arial"/>
          <w:bCs/>
          <w:sz w:val="24"/>
          <w:szCs w:val="24"/>
        </w:rPr>
        <w:t xml:space="preserve"> </w:t>
      </w:r>
      <w:r w:rsidR="0061310B" w:rsidRPr="002D04E1">
        <w:rPr>
          <w:rFonts w:ascii="Verdana" w:hAnsi="Verdana" w:cs="Arial"/>
          <w:bCs/>
          <w:sz w:val="24"/>
          <w:szCs w:val="24"/>
        </w:rPr>
        <w:t xml:space="preserve">Ta forma </w:t>
      </w:r>
      <w:r w:rsidR="00F35853" w:rsidRPr="002D04E1">
        <w:rPr>
          <w:rFonts w:ascii="Verdana" w:hAnsi="Verdana" w:cs="Arial"/>
          <w:bCs/>
          <w:sz w:val="24"/>
          <w:szCs w:val="24"/>
        </w:rPr>
        <w:t>wsparcia ma</w:t>
      </w:r>
      <w:r w:rsidR="00742416" w:rsidRPr="002D04E1">
        <w:rPr>
          <w:rFonts w:ascii="Verdana" w:hAnsi="Verdana" w:cs="Arial"/>
          <w:bCs/>
          <w:sz w:val="24"/>
          <w:szCs w:val="24"/>
        </w:rPr>
        <w:t xml:space="preserve"> na celu</w:t>
      </w:r>
      <w:r w:rsidR="00627CA6" w:rsidRPr="002D04E1">
        <w:rPr>
          <w:rFonts w:ascii="Verdana" w:hAnsi="Verdana" w:cs="Arial"/>
          <w:bCs/>
          <w:sz w:val="24"/>
          <w:szCs w:val="24"/>
        </w:rPr>
        <w:t xml:space="preserve"> </w:t>
      </w:r>
      <w:r w:rsidR="004928AE" w:rsidRPr="002D04E1">
        <w:rPr>
          <w:rFonts w:ascii="Verdana" w:hAnsi="Verdana" w:cs="Arial"/>
          <w:bCs/>
          <w:sz w:val="24"/>
          <w:szCs w:val="24"/>
        </w:rPr>
        <w:t xml:space="preserve">wyrównanie </w:t>
      </w:r>
      <w:r w:rsidR="00627CA6" w:rsidRPr="002D04E1">
        <w:rPr>
          <w:rFonts w:ascii="Verdana" w:hAnsi="Verdana" w:cs="Arial"/>
          <w:bCs/>
          <w:sz w:val="24"/>
          <w:szCs w:val="24"/>
        </w:rPr>
        <w:t xml:space="preserve">wiedzy, w </w:t>
      </w:r>
      <w:r w:rsidR="004928AE" w:rsidRPr="002D04E1">
        <w:rPr>
          <w:rFonts w:ascii="Verdana" w:hAnsi="Verdana" w:cs="Arial"/>
          <w:bCs/>
          <w:sz w:val="24"/>
          <w:szCs w:val="24"/>
        </w:rPr>
        <w:t>szczególności w pracy z przedsiębiorcami w kryzysie</w:t>
      </w:r>
      <w:r w:rsidR="00627CA6" w:rsidRPr="002D04E1">
        <w:rPr>
          <w:rFonts w:ascii="Verdana" w:hAnsi="Verdana" w:cs="Arial"/>
          <w:bCs/>
          <w:sz w:val="24"/>
          <w:szCs w:val="24"/>
        </w:rPr>
        <w:t xml:space="preserve"> i wymian</w:t>
      </w:r>
      <w:r w:rsidR="00944343" w:rsidRPr="002D04E1">
        <w:rPr>
          <w:rFonts w:ascii="Verdana" w:hAnsi="Verdana" w:cs="Arial"/>
          <w:bCs/>
          <w:sz w:val="24"/>
          <w:szCs w:val="24"/>
        </w:rPr>
        <w:t>ę</w:t>
      </w:r>
      <w:r w:rsidR="00627CA6" w:rsidRPr="002D04E1">
        <w:rPr>
          <w:rFonts w:ascii="Verdana" w:hAnsi="Verdana" w:cs="Arial"/>
          <w:bCs/>
          <w:sz w:val="24"/>
          <w:szCs w:val="24"/>
        </w:rPr>
        <w:t xml:space="preserve"> doświadczeń wynikających z ich dotychczasowej działalności w roli mentorów. </w:t>
      </w:r>
    </w:p>
    <w:p w14:paraId="4A6B1318" w14:textId="0A41B53D" w:rsidR="00627CA6" w:rsidRPr="002D04E1" w:rsidRDefault="009D1FFC"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Celem </w:t>
      </w:r>
      <w:r w:rsidR="0061310B" w:rsidRPr="002D04E1">
        <w:rPr>
          <w:rFonts w:ascii="Verdana" w:hAnsi="Verdana" w:cs="Arial"/>
          <w:bCs/>
          <w:sz w:val="24"/>
          <w:szCs w:val="24"/>
        </w:rPr>
        <w:t xml:space="preserve">szkoleń realizowanych w projekcie </w:t>
      </w:r>
      <w:r w:rsidRPr="002D04E1">
        <w:rPr>
          <w:rFonts w:ascii="Verdana" w:hAnsi="Verdana" w:cs="Arial"/>
          <w:bCs/>
          <w:sz w:val="24"/>
          <w:szCs w:val="24"/>
        </w:rPr>
        <w:t xml:space="preserve">jest zbudowanie kapitału </w:t>
      </w:r>
      <w:r w:rsidR="00AC1B10" w:rsidRPr="002D04E1">
        <w:rPr>
          <w:rFonts w:ascii="Verdana" w:hAnsi="Verdana" w:cs="Arial"/>
          <w:bCs/>
          <w:sz w:val="24"/>
          <w:szCs w:val="24"/>
        </w:rPr>
        <w:t xml:space="preserve">ludzi posiadających </w:t>
      </w:r>
      <w:r w:rsidRPr="002D04E1">
        <w:rPr>
          <w:rFonts w:ascii="Verdana" w:hAnsi="Verdana" w:cs="Arial"/>
          <w:bCs/>
          <w:sz w:val="24"/>
          <w:szCs w:val="24"/>
        </w:rPr>
        <w:t>wiedz</w:t>
      </w:r>
      <w:r w:rsidR="00AC1B10" w:rsidRPr="002D04E1">
        <w:rPr>
          <w:rFonts w:ascii="Verdana" w:hAnsi="Verdana" w:cs="Arial"/>
          <w:bCs/>
          <w:sz w:val="24"/>
          <w:szCs w:val="24"/>
        </w:rPr>
        <w:t>ę</w:t>
      </w:r>
      <w:r w:rsidRPr="002D04E1">
        <w:rPr>
          <w:rFonts w:ascii="Verdana" w:hAnsi="Verdana" w:cs="Arial"/>
          <w:bCs/>
          <w:sz w:val="24"/>
          <w:szCs w:val="24"/>
        </w:rPr>
        <w:t xml:space="preserve"> mentorsk</w:t>
      </w:r>
      <w:r w:rsidR="00AC1B10" w:rsidRPr="002D04E1">
        <w:rPr>
          <w:rFonts w:ascii="Verdana" w:hAnsi="Verdana" w:cs="Arial"/>
          <w:bCs/>
          <w:sz w:val="24"/>
          <w:szCs w:val="24"/>
        </w:rPr>
        <w:t xml:space="preserve">ą, </w:t>
      </w:r>
      <w:r w:rsidR="00ED4600" w:rsidRPr="002D04E1">
        <w:rPr>
          <w:rFonts w:ascii="Verdana" w:hAnsi="Verdana" w:cs="Arial"/>
          <w:bCs/>
          <w:sz w:val="24"/>
          <w:szCs w:val="24"/>
        </w:rPr>
        <w:t xml:space="preserve">posiadających podobne przygotowanie do pracy z przedsiębiorcami w kryzysie i </w:t>
      </w:r>
      <w:r w:rsidRPr="002D04E1">
        <w:rPr>
          <w:rFonts w:ascii="Verdana" w:hAnsi="Verdana" w:cs="Arial"/>
          <w:bCs/>
          <w:sz w:val="24"/>
          <w:szCs w:val="24"/>
        </w:rPr>
        <w:t xml:space="preserve">działających w oparciu o te same </w:t>
      </w:r>
      <w:r w:rsidR="00ED4600" w:rsidRPr="002D04E1">
        <w:rPr>
          <w:rFonts w:ascii="Verdana" w:hAnsi="Verdana" w:cs="Arial"/>
          <w:bCs/>
          <w:sz w:val="24"/>
          <w:szCs w:val="24"/>
        </w:rPr>
        <w:t xml:space="preserve">wartości i etykę. </w:t>
      </w:r>
    </w:p>
    <w:p w14:paraId="7C6EF519" w14:textId="77777777" w:rsidR="00C6485A" w:rsidRDefault="00ED4600" w:rsidP="00530D9C">
      <w:pPr>
        <w:spacing w:before="120" w:after="120" w:line="360" w:lineRule="auto"/>
        <w:rPr>
          <w:rFonts w:ascii="Verdana" w:hAnsi="Verdana" w:cs="Arial"/>
          <w:bCs/>
          <w:sz w:val="24"/>
          <w:szCs w:val="24"/>
        </w:rPr>
      </w:pPr>
      <w:r w:rsidRPr="002D04E1">
        <w:rPr>
          <w:rFonts w:ascii="Verdana" w:hAnsi="Verdana" w:cs="Arial"/>
          <w:bCs/>
          <w:sz w:val="24"/>
          <w:szCs w:val="24"/>
        </w:rPr>
        <w:t>Grupa, która ma być objęta tą formą wsparcia</w:t>
      </w:r>
      <w:r w:rsidR="00C6485A">
        <w:rPr>
          <w:rFonts w:ascii="Verdana" w:hAnsi="Verdana" w:cs="Arial"/>
          <w:bCs/>
          <w:sz w:val="24"/>
          <w:szCs w:val="24"/>
        </w:rPr>
        <w:t>,</w:t>
      </w:r>
      <w:r w:rsidRPr="002D04E1">
        <w:rPr>
          <w:rFonts w:ascii="Verdana" w:hAnsi="Verdana" w:cs="Arial"/>
          <w:bCs/>
          <w:sz w:val="24"/>
          <w:szCs w:val="24"/>
        </w:rPr>
        <w:t xml:space="preserve"> to </w:t>
      </w:r>
      <w:r w:rsidR="003E0257" w:rsidRPr="002D04E1">
        <w:rPr>
          <w:rFonts w:ascii="Verdana" w:hAnsi="Verdana" w:cs="Arial"/>
          <w:bCs/>
          <w:sz w:val="24"/>
          <w:szCs w:val="24"/>
        </w:rPr>
        <w:t xml:space="preserve">ok. </w:t>
      </w:r>
      <w:r w:rsidRPr="002D04E1">
        <w:rPr>
          <w:rFonts w:ascii="Verdana" w:hAnsi="Verdana" w:cs="Arial"/>
          <w:bCs/>
          <w:sz w:val="24"/>
          <w:szCs w:val="24"/>
        </w:rPr>
        <w:t>80</w:t>
      </w:r>
      <w:r w:rsidR="0066165E">
        <w:rPr>
          <w:rFonts w:ascii="Verdana" w:hAnsi="Verdana" w:cs="Arial"/>
          <w:bCs/>
          <w:sz w:val="24"/>
          <w:szCs w:val="24"/>
        </w:rPr>
        <w:t xml:space="preserve"> przedsiębiorców (</w:t>
      </w:r>
      <w:r w:rsidR="00864446">
        <w:rPr>
          <w:rFonts w:ascii="Verdana" w:hAnsi="Verdana" w:cs="Arial"/>
          <w:bCs/>
          <w:sz w:val="24"/>
          <w:szCs w:val="24"/>
        </w:rPr>
        <w:t>osób</w:t>
      </w:r>
      <w:r w:rsidR="0066165E">
        <w:rPr>
          <w:rFonts w:ascii="Verdana" w:hAnsi="Verdana" w:cs="Arial"/>
          <w:bCs/>
          <w:sz w:val="24"/>
          <w:szCs w:val="24"/>
        </w:rPr>
        <w:t xml:space="preserve"> prowadzących </w:t>
      </w:r>
      <w:r w:rsidR="00864446">
        <w:rPr>
          <w:rFonts w:ascii="Verdana" w:hAnsi="Verdana" w:cs="Arial"/>
          <w:bCs/>
          <w:sz w:val="24"/>
          <w:szCs w:val="24"/>
        </w:rPr>
        <w:t>działalność gospodarczą</w:t>
      </w:r>
      <w:r w:rsidR="00A73B87">
        <w:rPr>
          <w:rFonts w:ascii="Verdana" w:hAnsi="Verdana" w:cs="Arial"/>
          <w:bCs/>
          <w:sz w:val="24"/>
          <w:szCs w:val="24"/>
        </w:rPr>
        <w:t xml:space="preserve"> </w:t>
      </w:r>
      <w:r w:rsidR="000B7221">
        <w:rPr>
          <w:rFonts w:ascii="Verdana" w:hAnsi="Verdana" w:cs="Arial"/>
          <w:bCs/>
          <w:sz w:val="24"/>
          <w:szCs w:val="24"/>
        </w:rPr>
        <w:t xml:space="preserve">na podstawie wpisu do </w:t>
      </w:r>
      <w:r w:rsidR="000B7221" w:rsidRPr="000B7221">
        <w:rPr>
          <w:rFonts w:ascii="Verdana" w:hAnsi="Verdana" w:cs="Arial"/>
          <w:bCs/>
          <w:sz w:val="24"/>
          <w:szCs w:val="24"/>
        </w:rPr>
        <w:t>Centraln</w:t>
      </w:r>
      <w:r w:rsidR="0066165E">
        <w:rPr>
          <w:rFonts w:ascii="Verdana" w:hAnsi="Verdana" w:cs="Arial"/>
          <w:bCs/>
          <w:sz w:val="24"/>
          <w:szCs w:val="24"/>
        </w:rPr>
        <w:t xml:space="preserve">ej </w:t>
      </w:r>
      <w:r w:rsidR="000B7221" w:rsidRPr="000B7221">
        <w:rPr>
          <w:rFonts w:ascii="Verdana" w:hAnsi="Verdana" w:cs="Arial"/>
          <w:bCs/>
          <w:sz w:val="24"/>
          <w:szCs w:val="24"/>
        </w:rPr>
        <w:t>Ewidencj</w:t>
      </w:r>
      <w:r w:rsidR="0066165E">
        <w:rPr>
          <w:rFonts w:ascii="Verdana" w:hAnsi="Verdana" w:cs="Arial"/>
          <w:bCs/>
          <w:sz w:val="24"/>
          <w:szCs w:val="24"/>
        </w:rPr>
        <w:t>i</w:t>
      </w:r>
      <w:r w:rsidR="000B7221" w:rsidRPr="000B7221">
        <w:rPr>
          <w:rFonts w:ascii="Verdana" w:hAnsi="Verdana" w:cs="Arial"/>
          <w:bCs/>
          <w:sz w:val="24"/>
          <w:szCs w:val="24"/>
        </w:rPr>
        <w:t xml:space="preserve"> i Informacj</w:t>
      </w:r>
      <w:r w:rsidR="0066165E">
        <w:rPr>
          <w:rFonts w:ascii="Verdana" w:hAnsi="Verdana" w:cs="Arial"/>
          <w:bCs/>
          <w:sz w:val="24"/>
          <w:szCs w:val="24"/>
        </w:rPr>
        <w:t>i</w:t>
      </w:r>
      <w:r w:rsidR="000B7221" w:rsidRPr="000B7221">
        <w:rPr>
          <w:rFonts w:ascii="Verdana" w:hAnsi="Verdana" w:cs="Arial"/>
          <w:bCs/>
          <w:sz w:val="24"/>
          <w:szCs w:val="24"/>
        </w:rPr>
        <w:t xml:space="preserve"> o Działalności Gospodarczej</w:t>
      </w:r>
      <w:r w:rsidR="0066165E">
        <w:rPr>
          <w:rFonts w:ascii="Verdana" w:hAnsi="Verdana" w:cs="Arial"/>
          <w:bCs/>
          <w:sz w:val="24"/>
          <w:szCs w:val="24"/>
        </w:rPr>
        <w:t>)</w:t>
      </w:r>
      <w:r w:rsidR="00A73B87">
        <w:rPr>
          <w:rFonts w:ascii="Verdana" w:hAnsi="Verdana" w:cs="Arial"/>
          <w:bCs/>
          <w:sz w:val="24"/>
          <w:szCs w:val="24"/>
        </w:rPr>
        <w:t>.</w:t>
      </w:r>
      <w:r w:rsidRPr="002D04E1">
        <w:rPr>
          <w:rFonts w:ascii="Verdana" w:hAnsi="Verdana" w:cs="Arial"/>
          <w:bCs/>
          <w:sz w:val="24"/>
          <w:szCs w:val="24"/>
        </w:rPr>
        <w:t xml:space="preserve"> </w:t>
      </w:r>
    </w:p>
    <w:p w14:paraId="5895A58D" w14:textId="2F5574CF" w:rsidR="00747D8F" w:rsidRPr="002D04E1" w:rsidRDefault="00AC1B10" w:rsidP="00530D9C">
      <w:pPr>
        <w:spacing w:before="120" w:after="120" w:line="360" w:lineRule="auto"/>
        <w:rPr>
          <w:rFonts w:ascii="Verdana" w:hAnsi="Verdana" w:cs="Arial"/>
          <w:bCs/>
          <w:sz w:val="24"/>
          <w:szCs w:val="24"/>
        </w:rPr>
      </w:pPr>
      <w:r w:rsidRPr="002D04E1">
        <w:rPr>
          <w:rFonts w:ascii="Verdana" w:hAnsi="Verdana" w:cs="Arial"/>
          <w:bCs/>
          <w:sz w:val="24"/>
          <w:szCs w:val="24"/>
        </w:rPr>
        <w:t>K</w:t>
      </w:r>
      <w:r w:rsidR="00ED4600" w:rsidRPr="002D04E1">
        <w:rPr>
          <w:rFonts w:ascii="Verdana" w:hAnsi="Verdana" w:cs="Arial"/>
          <w:bCs/>
          <w:sz w:val="24"/>
          <w:szCs w:val="24"/>
        </w:rPr>
        <w:t xml:space="preserve">oszt tego modułu </w:t>
      </w:r>
      <w:r w:rsidRPr="002D04E1">
        <w:rPr>
          <w:rFonts w:ascii="Verdana" w:hAnsi="Verdana" w:cs="Arial"/>
          <w:bCs/>
          <w:sz w:val="24"/>
          <w:szCs w:val="24"/>
        </w:rPr>
        <w:t>będzie stanowił ok. 2</w:t>
      </w:r>
      <w:r w:rsidR="005D0617" w:rsidRPr="002D04E1">
        <w:rPr>
          <w:rFonts w:ascii="Verdana" w:hAnsi="Verdana" w:cs="Arial"/>
          <w:bCs/>
          <w:sz w:val="24"/>
          <w:szCs w:val="24"/>
        </w:rPr>
        <w:t>8</w:t>
      </w:r>
      <w:r w:rsidRPr="002D04E1">
        <w:rPr>
          <w:rFonts w:ascii="Verdana" w:hAnsi="Verdana" w:cs="Arial"/>
          <w:bCs/>
          <w:sz w:val="24"/>
          <w:szCs w:val="24"/>
        </w:rPr>
        <w:t xml:space="preserve">% kosztów </w:t>
      </w:r>
      <w:r w:rsidR="008C7F92" w:rsidRPr="002D04E1">
        <w:rPr>
          <w:rFonts w:ascii="Verdana" w:hAnsi="Verdana" w:cs="Arial"/>
          <w:bCs/>
          <w:sz w:val="24"/>
          <w:szCs w:val="24"/>
        </w:rPr>
        <w:t>Zadania</w:t>
      </w:r>
      <w:r w:rsidRPr="002D04E1">
        <w:rPr>
          <w:rFonts w:ascii="Verdana" w:hAnsi="Verdana" w:cs="Arial"/>
          <w:bCs/>
          <w:sz w:val="24"/>
          <w:szCs w:val="24"/>
        </w:rPr>
        <w:t>.</w:t>
      </w:r>
    </w:p>
    <w:p w14:paraId="101084FF" w14:textId="1AC33542" w:rsidR="00747D8F" w:rsidRPr="002E122B" w:rsidRDefault="006D7ADA" w:rsidP="00530D9C">
      <w:pPr>
        <w:spacing w:before="120" w:after="120" w:line="360" w:lineRule="auto"/>
        <w:rPr>
          <w:rFonts w:ascii="Verdana" w:hAnsi="Verdana" w:cs="Arial"/>
          <w:bCs/>
          <w:sz w:val="24"/>
          <w:szCs w:val="24"/>
        </w:rPr>
      </w:pPr>
      <w:r w:rsidRPr="002D04E1">
        <w:rPr>
          <w:rFonts w:ascii="Verdana" w:hAnsi="Verdana" w:cs="Arial"/>
          <w:b/>
          <w:sz w:val="24"/>
          <w:szCs w:val="24"/>
        </w:rPr>
        <w:t>Moduł 2.  - r</w:t>
      </w:r>
      <w:r w:rsidR="00E06CAB" w:rsidRPr="002E122B">
        <w:rPr>
          <w:rFonts w:ascii="Verdana" w:hAnsi="Verdana" w:cs="Arial"/>
          <w:b/>
          <w:sz w:val="24"/>
          <w:szCs w:val="24"/>
        </w:rPr>
        <w:t>ekrutacja oraz przeprowadzenie procesu wsparcia przedsiębiorców w trudnościach</w:t>
      </w:r>
      <w:r w:rsidR="00F300BE" w:rsidRPr="002E122B">
        <w:rPr>
          <w:rFonts w:ascii="Verdana" w:hAnsi="Verdana" w:cs="Arial"/>
          <w:bCs/>
          <w:sz w:val="24"/>
          <w:szCs w:val="24"/>
        </w:rPr>
        <w:t xml:space="preserve">. </w:t>
      </w:r>
    </w:p>
    <w:p w14:paraId="0C60E1F6" w14:textId="4C1FC93B" w:rsidR="00747D8F" w:rsidRPr="002D04E1" w:rsidRDefault="00747D8F" w:rsidP="00530D9C">
      <w:pPr>
        <w:spacing w:before="120" w:after="120" w:line="360" w:lineRule="auto"/>
        <w:rPr>
          <w:rFonts w:ascii="Verdana" w:hAnsi="Verdana" w:cs="Arial"/>
          <w:bCs/>
          <w:sz w:val="24"/>
          <w:szCs w:val="24"/>
        </w:rPr>
      </w:pPr>
      <w:r w:rsidRPr="002D04E1">
        <w:rPr>
          <w:rFonts w:ascii="Verdana" w:hAnsi="Verdana" w:cs="Arial"/>
          <w:bCs/>
          <w:sz w:val="24"/>
          <w:szCs w:val="24"/>
        </w:rPr>
        <w:t>Rekrutacja przeprowadzana będzie na podstawie oceny jakościowej (ankieta, wywiad, itp.) i ilościowej sytuacji firmy (wskaźniki finansowe) oraz deklarowanych trudności i wyzwań, jakie w ocenie własnej przedsiębiorcy stoją przed firmą.</w:t>
      </w:r>
      <w:r w:rsidR="00B36D98" w:rsidRPr="002D04E1">
        <w:rPr>
          <w:rFonts w:ascii="Verdana" w:hAnsi="Verdana" w:cs="Arial"/>
          <w:bCs/>
          <w:sz w:val="24"/>
          <w:szCs w:val="24"/>
        </w:rPr>
        <w:t xml:space="preserve"> </w:t>
      </w:r>
      <w:r w:rsidR="00C6485A">
        <w:rPr>
          <w:rFonts w:ascii="Verdana" w:hAnsi="Verdana" w:cs="Arial"/>
          <w:bCs/>
          <w:sz w:val="24"/>
          <w:szCs w:val="24"/>
        </w:rPr>
        <w:t>Osoba pełniąca funkcję mentora</w:t>
      </w:r>
      <w:r w:rsidR="00B36D98" w:rsidRPr="002D04E1">
        <w:rPr>
          <w:rFonts w:ascii="Verdana" w:hAnsi="Verdana" w:cs="Arial"/>
          <w:bCs/>
          <w:sz w:val="24"/>
          <w:szCs w:val="24"/>
        </w:rPr>
        <w:t xml:space="preserve"> rozpoczyna pracę z przedsiębiorcą od dokonania diagnozy potrzeb, określenia celów, jakie stawiają sobie mentor i mentee oraz opracowania planu mentoringu.</w:t>
      </w:r>
      <w:r w:rsidR="00CA4449" w:rsidRPr="002D04E1">
        <w:rPr>
          <w:rFonts w:ascii="Verdana" w:hAnsi="Verdana" w:cs="Arial"/>
          <w:bCs/>
          <w:sz w:val="24"/>
          <w:szCs w:val="24"/>
        </w:rPr>
        <w:t xml:space="preserve"> </w:t>
      </w:r>
      <w:r w:rsidR="00B36D98" w:rsidRPr="002D04E1">
        <w:rPr>
          <w:rFonts w:ascii="Verdana" w:hAnsi="Verdana" w:cs="Arial"/>
          <w:bCs/>
          <w:sz w:val="24"/>
          <w:szCs w:val="24"/>
        </w:rPr>
        <w:t>Po zakończeni</w:t>
      </w:r>
      <w:r w:rsidR="006D7ADA" w:rsidRPr="002D04E1">
        <w:rPr>
          <w:rFonts w:ascii="Verdana" w:hAnsi="Verdana" w:cs="Arial"/>
          <w:bCs/>
          <w:sz w:val="24"/>
          <w:szCs w:val="24"/>
        </w:rPr>
        <w:t>u</w:t>
      </w:r>
      <w:r w:rsidR="00B36D98" w:rsidRPr="002D04E1">
        <w:rPr>
          <w:rFonts w:ascii="Verdana" w:hAnsi="Verdana" w:cs="Arial"/>
          <w:bCs/>
          <w:sz w:val="24"/>
          <w:szCs w:val="24"/>
        </w:rPr>
        <w:t xml:space="preserve"> mentoringu firma dokona </w:t>
      </w:r>
      <w:r w:rsidR="00873CDC" w:rsidRPr="002D04E1">
        <w:rPr>
          <w:rFonts w:ascii="Verdana" w:hAnsi="Verdana" w:cs="Arial"/>
          <w:bCs/>
          <w:sz w:val="24"/>
          <w:szCs w:val="24"/>
        </w:rPr>
        <w:t xml:space="preserve">oceny stopnia </w:t>
      </w:r>
      <w:r w:rsidR="00B36D98" w:rsidRPr="002D04E1">
        <w:rPr>
          <w:rFonts w:ascii="Verdana" w:hAnsi="Verdana" w:cs="Arial"/>
          <w:bCs/>
          <w:sz w:val="24"/>
          <w:szCs w:val="24"/>
        </w:rPr>
        <w:t>realizacji założonych celów.</w:t>
      </w:r>
    </w:p>
    <w:p w14:paraId="62618E52" w14:textId="5D5625B2" w:rsidR="00A80351" w:rsidRPr="002D04E1" w:rsidRDefault="00AC1B10" w:rsidP="00530D9C">
      <w:pPr>
        <w:spacing w:before="120" w:after="120" w:line="360" w:lineRule="auto"/>
        <w:rPr>
          <w:rFonts w:ascii="Verdana" w:hAnsi="Verdana" w:cs="Arial"/>
          <w:bCs/>
          <w:sz w:val="24"/>
          <w:szCs w:val="24"/>
        </w:rPr>
      </w:pPr>
      <w:r w:rsidRPr="002D04E1">
        <w:rPr>
          <w:rFonts w:ascii="Verdana" w:hAnsi="Verdana" w:cs="Arial"/>
          <w:bCs/>
          <w:sz w:val="24"/>
          <w:szCs w:val="24"/>
        </w:rPr>
        <w:lastRenderedPageBreak/>
        <w:t>Grupa</w:t>
      </w:r>
      <w:r w:rsidR="00461C03" w:rsidRPr="002D04E1">
        <w:rPr>
          <w:rFonts w:ascii="Verdana" w:hAnsi="Verdana" w:cs="Arial"/>
          <w:bCs/>
          <w:sz w:val="24"/>
          <w:szCs w:val="24"/>
        </w:rPr>
        <w:t xml:space="preserve"> docelowa</w:t>
      </w:r>
      <w:r w:rsidRPr="002D04E1">
        <w:rPr>
          <w:rFonts w:ascii="Verdana" w:hAnsi="Verdana" w:cs="Arial"/>
          <w:bCs/>
          <w:sz w:val="24"/>
          <w:szCs w:val="24"/>
        </w:rPr>
        <w:t>, która ma być objęta tą formą wsparcia</w:t>
      </w:r>
      <w:r w:rsidR="006D7ADA" w:rsidRPr="002D04E1">
        <w:rPr>
          <w:rFonts w:ascii="Verdana" w:hAnsi="Verdana" w:cs="Arial"/>
          <w:bCs/>
          <w:sz w:val="24"/>
          <w:szCs w:val="24"/>
        </w:rPr>
        <w:t>,</w:t>
      </w:r>
      <w:r w:rsidRPr="002D04E1">
        <w:rPr>
          <w:rFonts w:ascii="Verdana" w:hAnsi="Verdana" w:cs="Arial"/>
          <w:bCs/>
          <w:sz w:val="24"/>
          <w:szCs w:val="24"/>
        </w:rPr>
        <w:t xml:space="preserve"> to</w:t>
      </w:r>
      <w:r w:rsidR="00730C9A" w:rsidRPr="002D04E1">
        <w:rPr>
          <w:rFonts w:ascii="Verdana" w:hAnsi="Verdana" w:cs="Arial"/>
          <w:bCs/>
          <w:sz w:val="24"/>
          <w:szCs w:val="24"/>
        </w:rPr>
        <w:t xml:space="preserve"> ok.</w:t>
      </w:r>
      <w:r w:rsidRPr="002D04E1">
        <w:rPr>
          <w:rFonts w:ascii="Verdana" w:hAnsi="Verdana" w:cs="Arial"/>
          <w:bCs/>
          <w:sz w:val="24"/>
          <w:szCs w:val="24"/>
        </w:rPr>
        <w:t xml:space="preserve"> 200 przedsiębiorców</w:t>
      </w:r>
      <w:r w:rsidR="008C7F92" w:rsidRPr="002D04E1">
        <w:rPr>
          <w:rFonts w:ascii="Verdana" w:hAnsi="Verdana" w:cs="Arial"/>
          <w:bCs/>
          <w:sz w:val="24"/>
          <w:szCs w:val="24"/>
        </w:rPr>
        <w:t xml:space="preserve"> znajdujących się w okresowych trudnościach, którzy w wyniku czynników zewnętrznych lub wewnętrznych utracili sprawność prowadzenia działalności gospodarczej</w:t>
      </w:r>
      <w:r w:rsidR="00873CDC" w:rsidRPr="002D04E1">
        <w:rPr>
          <w:rFonts w:ascii="Verdana" w:hAnsi="Verdana" w:cs="Arial"/>
          <w:bCs/>
          <w:sz w:val="24"/>
          <w:szCs w:val="24"/>
        </w:rPr>
        <w:t>,</w:t>
      </w:r>
      <w:r w:rsidR="008C7F92" w:rsidRPr="002D04E1">
        <w:rPr>
          <w:rFonts w:ascii="Verdana" w:hAnsi="Verdana" w:cs="Arial"/>
          <w:bCs/>
          <w:sz w:val="24"/>
          <w:szCs w:val="24"/>
        </w:rPr>
        <w:t xml:space="preserve"> lub występuje ryzyko spowolnieni</w:t>
      </w:r>
      <w:r w:rsidR="00D25F78" w:rsidRPr="002D04E1">
        <w:rPr>
          <w:rFonts w:ascii="Verdana" w:hAnsi="Verdana" w:cs="Arial"/>
          <w:bCs/>
          <w:sz w:val="24"/>
          <w:szCs w:val="24"/>
        </w:rPr>
        <w:t xml:space="preserve">a rozwoju ich firm </w:t>
      </w:r>
      <w:r w:rsidR="008C7F92" w:rsidRPr="002D04E1">
        <w:rPr>
          <w:rFonts w:ascii="Verdana" w:hAnsi="Verdana" w:cs="Arial"/>
          <w:bCs/>
          <w:sz w:val="24"/>
          <w:szCs w:val="24"/>
        </w:rPr>
        <w:t>w przyszłości</w:t>
      </w:r>
      <w:r w:rsidR="00A80351" w:rsidRPr="002D04E1">
        <w:rPr>
          <w:rFonts w:ascii="Verdana" w:hAnsi="Verdana" w:cs="Arial"/>
          <w:bCs/>
          <w:sz w:val="24"/>
          <w:szCs w:val="24"/>
        </w:rPr>
        <w:t xml:space="preserve">, odczuwają trudności w zarządzaniu </w:t>
      </w:r>
      <w:r w:rsidR="00D25F78" w:rsidRPr="002D04E1">
        <w:rPr>
          <w:rFonts w:ascii="Verdana" w:hAnsi="Verdana" w:cs="Arial"/>
          <w:bCs/>
          <w:sz w:val="24"/>
          <w:szCs w:val="24"/>
        </w:rPr>
        <w:t>ze względu na niezależne od przedsiębiorcy zmiany społeczno-gospodarcze</w:t>
      </w:r>
      <w:r w:rsidR="00873CDC" w:rsidRPr="002D04E1">
        <w:rPr>
          <w:rFonts w:ascii="Verdana" w:hAnsi="Verdana" w:cs="Arial"/>
          <w:bCs/>
          <w:sz w:val="24"/>
          <w:szCs w:val="24"/>
        </w:rPr>
        <w:t xml:space="preserve">, </w:t>
      </w:r>
      <w:r w:rsidR="00A80351" w:rsidRPr="002D04E1">
        <w:rPr>
          <w:rFonts w:ascii="Verdana" w:hAnsi="Verdana" w:cs="Arial"/>
          <w:bCs/>
          <w:sz w:val="24"/>
          <w:szCs w:val="24"/>
        </w:rPr>
        <w:t>identyfikują pierwsze symptomy mogące przerodzić się w poważne trudności w przyszłości, itp.</w:t>
      </w:r>
    </w:p>
    <w:p w14:paraId="229910C7" w14:textId="352BC561" w:rsidR="00AC1B10" w:rsidRPr="002D04E1" w:rsidRDefault="00AC1B10"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Koszt tego modułu będzie stanowił ok. </w:t>
      </w:r>
      <w:r w:rsidR="005D0617" w:rsidRPr="002D04E1">
        <w:rPr>
          <w:rFonts w:ascii="Verdana" w:hAnsi="Verdana" w:cs="Arial"/>
          <w:bCs/>
          <w:sz w:val="24"/>
          <w:szCs w:val="24"/>
        </w:rPr>
        <w:t>59</w:t>
      </w:r>
      <w:r w:rsidRPr="002D04E1">
        <w:rPr>
          <w:rFonts w:ascii="Verdana" w:hAnsi="Verdana" w:cs="Arial"/>
          <w:bCs/>
          <w:sz w:val="24"/>
          <w:szCs w:val="24"/>
        </w:rPr>
        <w:t xml:space="preserve">% kosztów </w:t>
      </w:r>
      <w:r w:rsidR="008C7F92" w:rsidRPr="002D04E1">
        <w:rPr>
          <w:rFonts w:ascii="Verdana" w:hAnsi="Verdana" w:cs="Arial"/>
          <w:bCs/>
          <w:sz w:val="24"/>
          <w:szCs w:val="24"/>
        </w:rPr>
        <w:t>Zadania</w:t>
      </w:r>
      <w:r w:rsidRPr="002D04E1">
        <w:rPr>
          <w:rFonts w:ascii="Verdana" w:hAnsi="Verdana" w:cs="Arial"/>
          <w:bCs/>
          <w:sz w:val="24"/>
          <w:szCs w:val="24"/>
        </w:rPr>
        <w:t>.</w:t>
      </w:r>
    </w:p>
    <w:p w14:paraId="5DD80C55" w14:textId="53E39B11" w:rsidR="0061310B" w:rsidRPr="002E122B" w:rsidRDefault="006D7ADA" w:rsidP="00530D9C">
      <w:pPr>
        <w:spacing w:before="120" w:after="120" w:line="360" w:lineRule="auto"/>
        <w:rPr>
          <w:rFonts w:ascii="Verdana" w:hAnsi="Verdana" w:cs="Arial"/>
          <w:bCs/>
          <w:sz w:val="24"/>
          <w:szCs w:val="24"/>
        </w:rPr>
      </w:pPr>
      <w:r w:rsidRPr="002D04E1">
        <w:rPr>
          <w:rFonts w:ascii="Verdana" w:hAnsi="Verdana" w:cs="Arial"/>
          <w:b/>
          <w:sz w:val="24"/>
          <w:szCs w:val="24"/>
        </w:rPr>
        <w:t>Moduł 3. - d</w:t>
      </w:r>
      <w:r w:rsidR="0061310B" w:rsidRPr="002E122B">
        <w:rPr>
          <w:rFonts w:ascii="Verdana" w:hAnsi="Verdana" w:cs="Arial"/>
          <w:b/>
          <w:sz w:val="24"/>
          <w:szCs w:val="24"/>
        </w:rPr>
        <w:t xml:space="preserve">ziałania informacyjne. </w:t>
      </w:r>
    </w:p>
    <w:p w14:paraId="06D98928" w14:textId="7B878EFA" w:rsidR="00192037" w:rsidRPr="002E122B" w:rsidRDefault="00461C03" w:rsidP="00530D9C">
      <w:pPr>
        <w:spacing w:before="120" w:after="120" w:line="360" w:lineRule="auto"/>
        <w:rPr>
          <w:rFonts w:ascii="Verdana" w:hAnsi="Verdana"/>
          <w:sz w:val="24"/>
          <w:szCs w:val="24"/>
        </w:rPr>
      </w:pPr>
      <w:r w:rsidRPr="002E122B">
        <w:rPr>
          <w:rFonts w:ascii="Verdana" w:hAnsi="Verdana" w:cs="Arial"/>
          <w:bCs/>
          <w:sz w:val="24"/>
          <w:szCs w:val="24"/>
        </w:rPr>
        <w:t xml:space="preserve">Kolejnym modułem Zadania, finansowanym </w:t>
      </w:r>
      <w:r w:rsidR="00F300BE" w:rsidRPr="002E122B">
        <w:rPr>
          <w:rFonts w:ascii="Verdana" w:hAnsi="Verdana" w:cs="Arial"/>
          <w:bCs/>
          <w:sz w:val="24"/>
          <w:szCs w:val="24"/>
        </w:rPr>
        <w:t>w</w:t>
      </w:r>
      <w:r w:rsidR="00551E79" w:rsidRPr="002E122B">
        <w:rPr>
          <w:rFonts w:ascii="Verdana" w:hAnsi="Verdana" w:cs="Arial"/>
          <w:bCs/>
          <w:sz w:val="24"/>
          <w:szCs w:val="24"/>
        </w:rPr>
        <w:t xml:space="preserve"> ramach</w:t>
      </w:r>
      <w:r w:rsidR="00B35419" w:rsidRPr="002E122B">
        <w:rPr>
          <w:rFonts w:ascii="Verdana" w:hAnsi="Verdana" w:cs="Arial"/>
          <w:bCs/>
          <w:sz w:val="24"/>
          <w:szCs w:val="24"/>
        </w:rPr>
        <w:t xml:space="preserve"> kosztów bezpośrednich</w:t>
      </w:r>
      <w:r w:rsidR="006D7ADA" w:rsidRPr="002D04E1">
        <w:rPr>
          <w:rFonts w:ascii="Verdana" w:hAnsi="Verdana" w:cs="Arial"/>
          <w:bCs/>
          <w:sz w:val="24"/>
          <w:szCs w:val="24"/>
        </w:rPr>
        <w:t>,</w:t>
      </w:r>
      <w:r w:rsidR="00B35419" w:rsidRPr="002E122B">
        <w:rPr>
          <w:rFonts w:ascii="Verdana" w:hAnsi="Verdana" w:cs="Arial"/>
          <w:bCs/>
          <w:sz w:val="24"/>
          <w:szCs w:val="24"/>
        </w:rPr>
        <w:t xml:space="preserve"> </w:t>
      </w:r>
      <w:r w:rsidR="00551E79" w:rsidRPr="002E122B">
        <w:rPr>
          <w:rFonts w:ascii="Verdana" w:hAnsi="Verdana" w:cs="Arial"/>
          <w:bCs/>
          <w:sz w:val="24"/>
          <w:szCs w:val="24"/>
        </w:rPr>
        <w:t xml:space="preserve">będą </w:t>
      </w:r>
      <w:r w:rsidR="00870AF6" w:rsidRPr="002E122B">
        <w:rPr>
          <w:rFonts w:ascii="Verdana" w:hAnsi="Verdana" w:cs="Arial"/>
          <w:bCs/>
          <w:sz w:val="24"/>
          <w:szCs w:val="24"/>
        </w:rPr>
        <w:t>działania</w:t>
      </w:r>
      <w:r w:rsidR="00551E79" w:rsidRPr="002E122B">
        <w:rPr>
          <w:rFonts w:ascii="Verdana" w:hAnsi="Verdana" w:cs="Arial"/>
          <w:bCs/>
          <w:sz w:val="24"/>
          <w:szCs w:val="24"/>
        </w:rPr>
        <w:t xml:space="preserve"> informacyjne</w:t>
      </w:r>
      <w:r w:rsidR="00763F07" w:rsidRPr="002E122B">
        <w:rPr>
          <w:rFonts w:ascii="Verdana" w:hAnsi="Verdana" w:cs="Arial"/>
          <w:bCs/>
          <w:sz w:val="24"/>
          <w:szCs w:val="24"/>
        </w:rPr>
        <w:t xml:space="preserve"> </w:t>
      </w:r>
      <w:r w:rsidR="00551E79" w:rsidRPr="002E122B">
        <w:rPr>
          <w:rFonts w:ascii="Verdana" w:hAnsi="Verdana" w:cs="Arial"/>
          <w:bCs/>
          <w:sz w:val="24"/>
          <w:szCs w:val="24"/>
        </w:rPr>
        <w:t xml:space="preserve">kierowane do </w:t>
      </w:r>
      <w:r w:rsidRPr="002E122B">
        <w:rPr>
          <w:rFonts w:ascii="Verdana" w:hAnsi="Verdana" w:cs="Arial"/>
          <w:bCs/>
          <w:sz w:val="24"/>
          <w:szCs w:val="24"/>
        </w:rPr>
        <w:t xml:space="preserve">ogółu </w:t>
      </w:r>
      <w:r w:rsidR="00551E79" w:rsidRPr="002E122B">
        <w:rPr>
          <w:rFonts w:ascii="Verdana" w:hAnsi="Verdana" w:cs="Arial"/>
          <w:bCs/>
          <w:sz w:val="24"/>
          <w:szCs w:val="24"/>
        </w:rPr>
        <w:t>przedsiębiorców</w:t>
      </w:r>
      <w:r w:rsidR="00192037" w:rsidRPr="002E122B">
        <w:rPr>
          <w:rFonts w:ascii="Verdana" w:hAnsi="Verdana" w:cs="Arial"/>
          <w:bCs/>
          <w:sz w:val="24"/>
          <w:szCs w:val="24"/>
        </w:rPr>
        <w:t>. C</w:t>
      </w:r>
      <w:r w:rsidR="00551E79" w:rsidRPr="002E122B">
        <w:rPr>
          <w:rFonts w:ascii="Verdana" w:hAnsi="Verdana" w:cs="Arial"/>
          <w:bCs/>
          <w:sz w:val="24"/>
          <w:szCs w:val="24"/>
        </w:rPr>
        <w:t xml:space="preserve">elem </w:t>
      </w:r>
      <w:r w:rsidR="00192037" w:rsidRPr="002E122B">
        <w:rPr>
          <w:rFonts w:ascii="Verdana" w:hAnsi="Verdana" w:cs="Arial"/>
          <w:bCs/>
          <w:sz w:val="24"/>
          <w:szCs w:val="24"/>
        </w:rPr>
        <w:t xml:space="preserve">tych działań </w:t>
      </w:r>
      <w:r w:rsidR="00551E79" w:rsidRPr="002E122B">
        <w:rPr>
          <w:rFonts w:ascii="Verdana" w:hAnsi="Verdana" w:cs="Arial"/>
          <w:bCs/>
          <w:sz w:val="24"/>
          <w:szCs w:val="24"/>
        </w:rPr>
        <w:t xml:space="preserve">będzie przygotowanie </w:t>
      </w:r>
      <w:r w:rsidR="00192037" w:rsidRPr="002E122B">
        <w:rPr>
          <w:rFonts w:ascii="Verdana" w:hAnsi="Verdana" w:cs="Arial"/>
          <w:bCs/>
          <w:sz w:val="24"/>
          <w:szCs w:val="24"/>
        </w:rPr>
        <w:t xml:space="preserve">przedsiębiorców </w:t>
      </w:r>
      <w:r w:rsidR="00551E79" w:rsidRPr="002E122B">
        <w:rPr>
          <w:rFonts w:ascii="Verdana" w:hAnsi="Verdana" w:cs="Arial"/>
          <w:bCs/>
          <w:sz w:val="24"/>
          <w:szCs w:val="24"/>
        </w:rPr>
        <w:t>na sytuacje kryzysowe</w:t>
      </w:r>
      <w:r w:rsidR="00192037" w:rsidRPr="002E122B">
        <w:rPr>
          <w:rFonts w:ascii="Verdana" w:hAnsi="Verdana" w:cs="Arial"/>
          <w:bCs/>
          <w:sz w:val="24"/>
          <w:szCs w:val="24"/>
        </w:rPr>
        <w:t xml:space="preserve"> poprzez</w:t>
      </w:r>
      <w:r w:rsidR="00551E79" w:rsidRPr="002E122B">
        <w:rPr>
          <w:rFonts w:ascii="Verdana" w:hAnsi="Verdana" w:cs="Arial"/>
          <w:bCs/>
          <w:sz w:val="24"/>
          <w:szCs w:val="24"/>
        </w:rPr>
        <w:t xml:space="preserve"> dostarcz</w:t>
      </w:r>
      <w:r w:rsidR="00192037" w:rsidRPr="002E122B">
        <w:rPr>
          <w:rFonts w:ascii="Verdana" w:hAnsi="Verdana" w:cs="Arial"/>
          <w:bCs/>
          <w:sz w:val="24"/>
          <w:szCs w:val="24"/>
        </w:rPr>
        <w:t>enie</w:t>
      </w:r>
      <w:r w:rsidR="00551E79" w:rsidRPr="002E122B">
        <w:rPr>
          <w:rFonts w:ascii="Verdana" w:hAnsi="Verdana" w:cs="Arial"/>
          <w:bCs/>
          <w:sz w:val="24"/>
          <w:szCs w:val="24"/>
        </w:rPr>
        <w:t xml:space="preserve"> wiedzy </w:t>
      </w:r>
      <w:r w:rsidR="00970077" w:rsidRPr="002E122B">
        <w:rPr>
          <w:rFonts w:ascii="Verdana" w:hAnsi="Verdana" w:cs="Arial"/>
          <w:bCs/>
          <w:sz w:val="24"/>
          <w:szCs w:val="24"/>
        </w:rPr>
        <w:t xml:space="preserve">i narzędzi </w:t>
      </w:r>
      <w:r w:rsidR="006D7ADA" w:rsidRPr="002D04E1">
        <w:rPr>
          <w:rFonts w:ascii="Verdana" w:hAnsi="Verdana" w:cs="Arial"/>
          <w:bCs/>
          <w:sz w:val="24"/>
          <w:szCs w:val="24"/>
        </w:rPr>
        <w:t>w zakresie</w:t>
      </w:r>
      <w:r w:rsidR="00551E79" w:rsidRPr="002E122B">
        <w:rPr>
          <w:rFonts w:ascii="Verdana" w:hAnsi="Verdana" w:cs="Arial"/>
          <w:bCs/>
          <w:sz w:val="24"/>
          <w:szCs w:val="24"/>
        </w:rPr>
        <w:t xml:space="preserve"> prowadzeni</w:t>
      </w:r>
      <w:r w:rsidR="006D7ADA" w:rsidRPr="002D04E1">
        <w:rPr>
          <w:rFonts w:ascii="Verdana" w:hAnsi="Verdana" w:cs="Arial"/>
          <w:bCs/>
          <w:sz w:val="24"/>
          <w:szCs w:val="24"/>
        </w:rPr>
        <w:t>a</w:t>
      </w:r>
      <w:r w:rsidR="00551E79" w:rsidRPr="002E122B">
        <w:rPr>
          <w:rFonts w:ascii="Verdana" w:hAnsi="Verdana" w:cs="Arial"/>
          <w:bCs/>
          <w:sz w:val="24"/>
          <w:szCs w:val="24"/>
        </w:rPr>
        <w:t xml:space="preserve"> własnego biznesu</w:t>
      </w:r>
      <w:r w:rsidR="004F602E" w:rsidRPr="002E122B">
        <w:rPr>
          <w:rFonts w:ascii="Verdana" w:hAnsi="Verdana" w:cs="Arial"/>
          <w:bCs/>
          <w:sz w:val="24"/>
          <w:szCs w:val="24"/>
        </w:rPr>
        <w:t xml:space="preserve">, których stosowanie zapewni profilaktykę </w:t>
      </w:r>
      <w:r w:rsidR="00E52A63" w:rsidRPr="002D04E1">
        <w:rPr>
          <w:rFonts w:ascii="Verdana" w:hAnsi="Verdana" w:cs="Arial"/>
          <w:bCs/>
          <w:sz w:val="24"/>
          <w:szCs w:val="24"/>
        </w:rPr>
        <w:t xml:space="preserve">w </w:t>
      </w:r>
      <w:r w:rsidR="004F602E" w:rsidRPr="002E122B">
        <w:rPr>
          <w:rFonts w:ascii="Verdana" w:hAnsi="Verdana" w:cs="Arial"/>
          <w:bCs/>
          <w:sz w:val="24"/>
          <w:szCs w:val="24"/>
        </w:rPr>
        <w:t>zarządzani</w:t>
      </w:r>
      <w:r w:rsidR="00E52A63" w:rsidRPr="002D04E1">
        <w:rPr>
          <w:rFonts w:ascii="Verdana" w:hAnsi="Verdana" w:cs="Arial"/>
          <w:bCs/>
          <w:sz w:val="24"/>
          <w:szCs w:val="24"/>
        </w:rPr>
        <w:t>u</w:t>
      </w:r>
      <w:r w:rsidR="004F602E" w:rsidRPr="002E122B">
        <w:rPr>
          <w:rFonts w:ascii="Verdana" w:hAnsi="Verdana" w:cs="Arial"/>
          <w:bCs/>
          <w:sz w:val="24"/>
          <w:szCs w:val="24"/>
        </w:rPr>
        <w:t xml:space="preserve"> firmą</w:t>
      </w:r>
      <w:r w:rsidR="00970077" w:rsidRPr="002E122B">
        <w:rPr>
          <w:rFonts w:ascii="Verdana" w:hAnsi="Verdana" w:cs="Arial"/>
          <w:bCs/>
          <w:sz w:val="24"/>
          <w:szCs w:val="24"/>
        </w:rPr>
        <w:t xml:space="preserve"> i ograniczy podatność na kryzys.</w:t>
      </w:r>
      <w:r w:rsidR="00B35419" w:rsidRPr="002E122B">
        <w:rPr>
          <w:rFonts w:ascii="Verdana" w:hAnsi="Verdana" w:cs="Arial"/>
          <w:bCs/>
          <w:sz w:val="24"/>
          <w:szCs w:val="24"/>
        </w:rPr>
        <w:t xml:space="preserve"> Przedmiotowe działania będą realizowane w formie</w:t>
      </w:r>
      <w:r w:rsidR="004355D1" w:rsidRPr="002E122B">
        <w:rPr>
          <w:rFonts w:ascii="Verdana" w:hAnsi="Verdana" w:cs="Arial"/>
          <w:bCs/>
          <w:sz w:val="24"/>
          <w:szCs w:val="24"/>
        </w:rPr>
        <w:t xml:space="preserve"> spotkań, webinarów i innych narzędzi komunikacji</w:t>
      </w:r>
      <w:r w:rsidR="00A73B87">
        <w:rPr>
          <w:rFonts w:ascii="Verdana" w:hAnsi="Verdana" w:cs="Arial"/>
          <w:bCs/>
          <w:sz w:val="24"/>
          <w:szCs w:val="24"/>
        </w:rPr>
        <w:t>, w tym poprzez kontakty z organizacj</w:t>
      </w:r>
      <w:r w:rsidR="000B7221">
        <w:rPr>
          <w:rFonts w:ascii="Verdana" w:hAnsi="Verdana" w:cs="Arial"/>
          <w:bCs/>
          <w:sz w:val="24"/>
          <w:szCs w:val="24"/>
        </w:rPr>
        <w:t xml:space="preserve">ami </w:t>
      </w:r>
      <w:r w:rsidR="00A73B87">
        <w:rPr>
          <w:rFonts w:ascii="Verdana" w:hAnsi="Verdana" w:cs="Arial"/>
          <w:bCs/>
          <w:sz w:val="24"/>
          <w:szCs w:val="24"/>
        </w:rPr>
        <w:t>skupiającymi przedsiębiorców</w:t>
      </w:r>
      <w:r w:rsidR="004355D1" w:rsidRPr="002E122B">
        <w:rPr>
          <w:rFonts w:ascii="Verdana" w:hAnsi="Verdana" w:cs="Arial"/>
          <w:bCs/>
          <w:sz w:val="24"/>
          <w:szCs w:val="24"/>
        </w:rPr>
        <w:t xml:space="preserve"> </w:t>
      </w:r>
      <w:r w:rsidR="00A73B87">
        <w:rPr>
          <w:rFonts w:ascii="Verdana" w:hAnsi="Verdana" w:cs="Arial"/>
          <w:bCs/>
          <w:sz w:val="24"/>
          <w:szCs w:val="24"/>
        </w:rPr>
        <w:t xml:space="preserve">oraz </w:t>
      </w:r>
      <w:r w:rsidR="000B7221">
        <w:rPr>
          <w:rFonts w:ascii="Verdana" w:hAnsi="Verdana" w:cs="Arial"/>
          <w:bCs/>
          <w:sz w:val="24"/>
          <w:szCs w:val="24"/>
        </w:rPr>
        <w:t xml:space="preserve">poprzez </w:t>
      </w:r>
      <w:r w:rsidR="00A73B87">
        <w:rPr>
          <w:rFonts w:ascii="Verdana" w:hAnsi="Verdana" w:cs="Arial"/>
          <w:bCs/>
          <w:sz w:val="24"/>
          <w:szCs w:val="24"/>
        </w:rPr>
        <w:t xml:space="preserve">system rad sektorowych ds. kompetencji, </w:t>
      </w:r>
      <w:r w:rsidR="004355D1" w:rsidRPr="002E122B">
        <w:rPr>
          <w:rFonts w:ascii="Verdana" w:hAnsi="Verdana" w:cs="Arial"/>
          <w:bCs/>
          <w:sz w:val="24"/>
          <w:szCs w:val="24"/>
        </w:rPr>
        <w:t>które zapewnią dostęp szerokiego audytorium</w:t>
      </w:r>
      <w:r w:rsidR="001A292A" w:rsidRPr="002E122B">
        <w:rPr>
          <w:rFonts w:ascii="Verdana" w:hAnsi="Verdana" w:cs="Arial"/>
          <w:bCs/>
          <w:sz w:val="24"/>
          <w:szCs w:val="24"/>
        </w:rPr>
        <w:t xml:space="preserve">. </w:t>
      </w:r>
      <w:r w:rsidR="00941EB3" w:rsidRPr="002E122B">
        <w:rPr>
          <w:rFonts w:ascii="Verdana" w:hAnsi="Verdana" w:cs="Arial"/>
          <w:bCs/>
          <w:sz w:val="24"/>
          <w:szCs w:val="24"/>
        </w:rPr>
        <w:t xml:space="preserve">Prowadzona będzie podstrona na domenie parp.gov.pl, na której udostępniane będą informacje </w:t>
      </w:r>
      <w:r w:rsidR="00694C07" w:rsidRPr="002E122B">
        <w:rPr>
          <w:rFonts w:ascii="Verdana" w:hAnsi="Verdana" w:cs="Arial"/>
          <w:bCs/>
          <w:sz w:val="24"/>
          <w:szCs w:val="24"/>
        </w:rPr>
        <w:t xml:space="preserve">merytoryczne </w:t>
      </w:r>
      <w:r w:rsidR="00941EB3" w:rsidRPr="002E122B">
        <w:rPr>
          <w:rFonts w:ascii="Verdana" w:hAnsi="Verdana" w:cs="Arial"/>
          <w:bCs/>
          <w:sz w:val="24"/>
          <w:szCs w:val="24"/>
        </w:rPr>
        <w:t xml:space="preserve">dostępne dla ogółu przedsiębiorców z kierunkową tematyką </w:t>
      </w:r>
      <w:r w:rsidR="00694C07" w:rsidRPr="002E122B">
        <w:rPr>
          <w:rFonts w:ascii="Verdana" w:hAnsi="Verdana" w:cs="Arial"/>
          <w:bCs/>
          <w:sz w:val="24"/>
          <w:szCs w:val="24"/>
        </w:rPr>
        <w:t xml:space="preserve">dla firm borykających się z trudnościami. </w:t>
      </w:r>
      <w:r w:rsidR="00B9138E">
        <w:rPr>
          <w:rFonts w:ascii="Verdana" w:hAnsi="Verdana" w:cs="Arial"/>
          <w:bCs/>
          <w:sz w:val="24"/>
          <w:szCs w:val="24"/>
        </w:rPr>
        <w:t>W ramach modułu planuje się dokonanie oceny systemu wsparcia i przygotowan</w:t>
      </w:r>
      <w:r w:rsidR="0001213F">
        <w:rPr>
          <w:rFonts w:ascii="Verdana" w:hAnsi="Verdana" w:cs="Arial"/>
          <w:bCs/>
          <w:sz w:val="24"/>
          <w:szCs w:val="24"/>
        </w:rPr>
        <w:t>i</w:t>
      </w:r>
      <w:r w:rsidR="00B9138E">
        <w:rPr>
          <w:rFonts w:ascii="Verdana" w:hAnsi="Verdana" w:cs="Arial"/>
          <w:bCs/>
          <w:sz w:val="24"/>
          <w:szCs w:val="24"/>
        </w:rPr>
        <w:t>e rekomendacj</w:t>
      </w:r>
      <w:r w:rsidR="0001213F">
        <w:rPr>
          <w:rFonts w:ascii="Verdana" w:hAnsi="Verdana" w:cs="Arial"/>
          <w:bCs/>
          <w:sz w:val="24"/>
          <w:szCs w:val="24"/>
        </w:rPr>
        <w:t>i</w:t>
      </w:r>
      <w:r w:rsidR="00B9138E">
        <w:rPr>
          <w:rFonts w:ascii="Verdana" w:hAnsi="Verdana" w:cs="Arial"/>
          <w:bCs/>
          <w:sz w:val="24"/>
          <w:szCs w:val="24"/>
        </w:rPr>
        <w:t xml:space="preserve"> dotycząc</w:t>
      </w:r>
      <w:r w:rsidR="0001213F">
        <w:rPr>
          <w:rFonts w:ascii="Verdana" w:hAnsi="Verdana" w:cs="Arial"/>
          <w:bCs/>
          <w:sz w:val="24"/>
          <w:szCs w:val="24"/>
        </w:rPr>
        <w:t>ych</w:t>
      </w:r>
      <w:r w:rsidR="00B9138E">
        <w:rPr>
          <w:rFonts w:ascii="Verdana" w:hAnsi="Verdana" w:cs="Arial"/>
          <w:bCs/>
          <w:sz w:val="24"/>
          <w:szCs w:val="24"/>
        </w:rPr>
        <w:t xml:space="preserve"> przyszłej formuły kontynuacji wsparcia</w:t>
      </w:r>
      <w:r w:rsidR="003A1F1F">
        <w:rPr>
          <w:rFonts w:ascii="Verdana" w:hAnsi="Verdana" w:cs="Arial"/>
          <w:bCs/>
          <w:sz w:val="24"/>
          <w:szCs w:val="24"/>
        </w:rPr>
        <w:t>, w</w:t>
      </w:r>
      <w:r w:rsidR="003A1F1F" w:rsidRPr="003A1F1F">
        <w:rPr>
          <w:rFonts w:ascii="Verdana" w:hAnsi="Verdana" w:cs="Arial"/>
          <w:bCs/>
          <w:sz w:val="24"/>
          <w:szCs w:val="24"/>
        </w:rPr>
        <w:t xml:space="preserve"> tym propozycji dotyczących sposobu finansowania po zakończeniu finansowania ze środków EFS+.</w:t>
      </w:r>
    </w:p>
    <w:p w14:paraId="735D0285" w14:textId="65DE5D6D" w:rsidR="007F3C53" w:rsidRPr="002D04E1" w:rsidRDefault="00941EB3" w:rsidP="00530D9C">
      <w:pPr>
        <w:spacing w:before="120" w:after="120" w:line="360" w:lineRule="auto"/>
        <w:rPr>
          <w:rFonts w:ascii="Verdana" w:hAnsi="Verdana" w:cs="Arial"/>
          <w:bCs/>
          <w:sz w:val="24"/>
          <w:szCs w:val="24"/>
        </w:rPr>
      </w:pPr>
      <w:r w:rsidRPr="002D04E1">
        <w:rPr>
          <w:rFonts w:ascii="Verdana" w:hAnsi="Verdana" w:cs="Arial"/>
          <w:bCs/>
          <w:sz w:val="24"/>
          <w:szCs w:val="24"/>
        </w:rPr>
        <w:t>W</w:t>
      </w:r>
      <w:r w:rsidR="004F602E" w:rsidRPr="002D04E1">
        <w:rPr>
          <w:rFonts w:ascii="Verdana" w:hAnsi="Verdana" w:cs="Arial"/>
          <w:bCs/>
          <w:sz w:val="24"/>
          <w:szCs w:val="24"/>
        </w:rPr>
        <w:t xml:space="preserve"> ramach </w:t>
      </w:r>
      <w:r w:rsidRPr="002D04E1">
        <w:rPr>
          <w:rFonts w:ascii="Verdana" w:hAnsi="Verdana" w:cs="Arial"/>
          <w:bCs/>
          <w:sz w:val="24"/>
          <w:szCs w:val="24"/>
        </w:rPr>
        <w:t>tego modułu</w:t>
      </w:r>
      <w:r w:rsidR="004F602E" w:rsidRPr="002D04E1">
        <w:rPr>
          <w:rFonts w:ascii="Verdana" w:hAnsi="Verdana" w:cs="Arial"/>
          <w:bCs/>
          <w:sz w:val="24"/>
          <w:szCs w:val="24"/>
        </w:rPr>
        <w:t xml:space="preserve"> prowadzona będzie </w:t>
      </w:r>
      <w:r w:rsidR="00970077" w:rsidRPr="002D04E1">
        <w:rPr>
          <w:rFonts w:ascii="Verdana" w:hAnsi="Verdana" w:cs="Arial"/>
          <w:bCs/>
          <w:sz w:val="24"/>
          <w:szCs w:val="24"/>
        </w:rPr>
        <w:t xml:space="preserve">także </w:t>
      </w:r>
      <w:r w:rsidR="00FE0966" w:rsidRPr="002D04E1">
        <w:rPr>
          <w:rFonts w:ascii="Verdana" w:hAnsi="Verdana" w:cs="Arial"/>
          <w:bCs/>
          <w:sz w:val="24"/>
          <w:szCs w:val="24"/>
        </w:rPr>
        <w:t xml:space="preserve">współpraca z </w:t>
      </w:r>
      <w:r w:rsidR="004F602E" w:rsidRPr="002D04E1">
        <w:rPr>
          <w:rFonts w:ascii="Verdana" w:hAnsi="Verdana" w:cs="Arial"/>
          <w:bCs/>
          <w:sz w:val="24"/>
          <w:szCs w:val="24"/>
        </w:rPr>
        <w:t>o</w:t>
      </w:r>
      <w:r w:rsidR="00FE0966" w:rsidRPr="002D04E1">
        <w:rPr>
          <w:rFonts w:ascii="Verdana" w:hAnsi="Verdana" w:cs="Arial"/>
          <w:bCs/>
          <w:sz w:val="24"/>
          <w:szCs w:val="24"/>
        </w:rPr>
        <w:t>rganizacjami</w:t>
      </w:r>
      <w:r w:rsidR="00F75472" w:rsidRPr="002D04E1">
        <w:rPr>
          <w:rFonts w:ascii="Verdana" w:hAnsi="Verdana" w:cs="Arial"/>
          <w:bCs/>
          <w:sz w:val="24"/>
          <w:szCs w:val="24"/>
        </w:rPr>
        <w:t xml:space="preserve"> </w:t>
      </w:r>
      <w:r w:rsidR="00FE0966" w:rsidRPr="002D04E1">
        <w:rPr>
          <w:rFonts w:ascii="Verdana" w:hAnsi="Verdana" w:cs="Arial"/>
          <w:bCs/>
          <w:sz w:val="24"/>
          <w:szCs w:val="24"/>
        </w:rPr>
        <w:t>działającymi na rzecz rozwoju przedsiębiorczości w krajach Unii Europejskiej</w:t>
      </w:r>
      <w:r w:rsidRPr="002D04E1">
        <w:rPr>
          <w:rFonts w:ascii="Verdana" w:hAnsi="Verdana" w:cs="Arial"/>
          <w:bCs/>
          <w:sz w:val="24"/>
          <w:szCs w:val="24"/>
        </w:rPr>
        <w:t>.</w:t>
      </w:r>
      <w:r w:rsidR="00694C07" w:rsidRPr="002D04E1">
        <w:rPr>
          <w:rFonts w:ascii="Verdana" w:hAnsi="Verdana" w:cs="Arial"/>
          <w:bCs/>
          <w:sz w:val="24"/>
          <w:szCs w:val="24"/>
        </w:rPr>
        <w:t xml:space="preserve"> Celem tego działania będzie</w:t>
      </w:r>
      <w:r w:rsidR="00192037" w:rsidRPr="002E122B">
        <w:rPr>
          <w:rFonts w:ascii="Verdana" w:hAnsi="Verdana" w:cs="Arial"/>
          <w:bCs/>
          <w:sz w:val="24"/>
          <w:szCs w:val="24"/>
        </w:rPr>
        <w:t xml:space="preserve"> </w:t>
      </w:r>
      <w:r w:rsidR="00FE0966" w:rsidRPr="002D04E1">
        <w:rPr>
          <w:rFonts w:ascii="Verdana" w:hAnsi="Verdana" w:cs="Arial"/>
          <w:bCs/>
          <w:sz w:val="24"/>
          <w:szCs w:val="24"/>
        </w:rPr>
        <w:t xml:space="preserve">udział we wspólnych inicjatywach na rzecz </w:t>
      </w:r>
      <w:r w:rsidR="00F75472" w:rsidRPr="002D04E1">
        <w:rPr>
          <w:rFonts w:ascii="Verdana" w:hAnsi="Verdana" w:cs="Arial"/>
          <w:bCs/>
          <w:sz w:val="24"/>
          <w:szCs w:val="24"/>
        </w:rPr>
        <w:t xml:space="preserve">promowania </w:t>
      </w:r>
      <w:r w:rsidR="007F3C53" w:rsidRPr="002D04E1">
        <w:rPr>
          <w:rFonts w:ascii="Verdana" w:hAnsi="Verdana" w:cs="Arial"/>
          <w:bCs/>
          <w:sz w:val="24"/>
          <w:szCs w:val="24"/>
        </w:rPr>
        <w:t xml:space="preserve">wsparcia </w:t>
      </w:r>
      <w:r w:rsidR="002D39D2" w:rsidRPr="002D04E1">
        <w:rPr>
          <w:rFonts w:ascii="Verdana" w:hAnsi="Verdana" w:cs="Arial"/>
          <w:bCs/>
          <w:sz w:val="24"/>
          <w:szCs w:val="24"/>
        </w:rPr>
        <w:t>przedsiębiorców w</w:t>
      </w:r>
      <w:r w:rsidR="007F3C53" w:rsidRPr="002D04E1">
        <w:rPr>
          <w:rFonts w:ascii="Verdana" w:hAnsi="Verdana" w:cs="Arial"/>
          <w:bCs/>
          <w:sz w:val="24"/>
          <w:szCs w:val="24"/>
        </w:rPr>
        <w:t xml:space="preserve"> </w:t>
      </w:r>
      <w:r w:rsidR="007F3C53" w:rsidRPr="002D04E1">
        <w:rPr>
          <w:rFonts w:ascii="Verdana" w:hAnsi="Verdana" w:cs="Arial"/>
          <w:bCs/>
          <w:sz w:val="24"/>
          <w:szCs w:val="24"/>
        </w:rPr>
        <w:lastRenderedPageBreak/>
        <w:t>trudnościach metodą mentoringu, w tym udział w corocznych spotkaniach – Early Warning Europe Day oraz Early Warning Mentor Day</w:t>
      </w:r>
      <w:r w:rsidR="00192037" w:rsidRPr="002D04E1">
        <w:rPr>
          <w:rFonts w:ascii="Verdana" w:hAnsi="Verdana" w:cs="Arial"/>
          <w:bCs/>
          <w:sz w:val="24"/>
          <w:szCs w:val="24"/>
        </w:rPr>
        <w:t xml:space="preserve">. Spotkania te oferują możliwość </w:t>
      </w:r>
      <w:r w:rsidR="007F3C53" w:rsidRPr="002D04E1">
        <w:rPr>
          <w:rFonts w:ascii="Verdana" w:hAnsi="Verdana" w:cs="Arial"/>
          <w:bCs/>
          <w:sz w:val="24"/>
          <w:szCs w:val="24"/>
        </w:rPr>
        <w:t>wymian</w:t>
      </w:r>
      <w:r w:rsidR="00192037" w:rsidRPr="002D04E1">
        <w:rPr>
          <w:rFonts w:ascii="Verdana" w:hAnsi="Verdana" w:cs="Arial"/>
          <w:bCs/>
          <w:sz w:val="24"/>
          <w:szCs w:val="24"/>
        </w:rPr>
        <w:t>y</w:t>
      </w:r>
      <w:r w:rsidR="007F3C53" w:rsidRPr="002D04E1">
        <w:rPr>
          <w:rFonts w:ascii="Verdana" w:hAnsi="Verdana" w:cs="Arial"/>
          <w:bCs/>
          <w:sz w:val="24"/>
          <w:szCs w:val="24"/>
        </w:rPr>
        <w:t xml:space="preserve"> doświadczeń pomiędzy przedstawicielami </w:t>
      </w:r>
      <w:r w:rsidR="00806BB1">
        <w:rPr>
          <w:rFonts w:ascii="Verdana" w:hAnsi="Verdana" w:cs="Arial"/>
          <w:bCs/>
          <w:sz w:val="24"/>
          <w:szCs w:val="24"/>
        </w:rPr>
        <w:t xml:space="preserve">i przedstawicielkami </w:t>
      </w:r>
      <w:r w:rsidR="007F3C53" w:rsidRPr="002D04E1">
        <w:rPr>
          <w:rFonts w:ascii="Verdana" w:hAnsi="Verdana" w:cs="Arial"/>
          <w:bCs/>
          <w:sz w:val="24"/>
          <w:szCs w:val="24"/>
        </w:rPr>
        <w:t xml:space="preserve">instytucji wdrażających </w:t>
      </w:r>
      <w:r w:rsidR="00970077" w:rsidRPr="002D04E1">
        <w:rPr>
          <w:rFonts w:ascii="Verdana" w:hAnsi="Verdana" w:cs="Arial"/>
          <w:bCs/>
          <w:sz w:val="24"/>
          <w:szCs w:val="24"/>
        </w:rPr>
        <w:t>metod</w:t>
      </w:r>
      <w:r w:rsidR="007F3C53" w:rsidRPr="002D04E1">
        <w:rPr>
          <w:rFonts w:ascii="Verdana" w:hAnsi="Verdana" w:cs="Arial"/>
          <w:bCs/>
          <w:sz w:val="24"/>
          <w:szCs w:val="24"/>
        </w:rPr>
        <w:t xml:space="preserve">ę </w:t>
      </w:r>
      <w:r w:rsidR="00970077" w:rsidRPr="002D04E1">
        <w:rPr>
          <w:rFonts w:ascii="Verdana" w:hAnsi="Verdana" w:cs="Arial"/>
          <w:bCs/>
          <w:sz w:val="24"/>
          <w:szCs w:val="24"/>
        </w:rPr>
        <w:t>Early Warning</w:t>
      </w:r>
      <w:r w:rsidR="007F3C53" w:rsidRPr="002D04E1">
        <w:rPr>
          <w:rFonts w:ascii="Verdana" w:hAnsi="Verdana" w:cs="Arial"/>
          <w:bCs/>
          <w:sz w:val="24"/>
          <w:szCs w:val="24"/>
        </w:rPr>
        <w:t xml:space="preserve"> </w:t>
      </w:r>
      <w:r w:rsidR="00192037" w:rsidRPr="002D04E1">
        <w:rPr>
          <w:rFonts w:ascii="Verdana" w:hAnsi="Verdana" w:cs="Arial"/>
          <w:bCs/>
          <w:sz w:val="24"/>
          <w:szCs w:val="24"/>
        </w:rPr>
        <w:t>oraz</w:t>
      </w:r>
      <w:r w:rsidR="007F3C53" w:rsidRPr="002D04E1">
        <w:rPr>
          <w:rFonts w:ascii="Verdana" w:hAnsi="Verdana" w:cs="Arial"/>
          <w:bCs/>
          <w:sz w:val="24"/>
          <w:szCs w:val="24"/>
        </w:rPr>
        <w:t xml:space="preserve"> </w:t>
      </w:r>
      <w:r w:rsidR="00EA0989" w:rsidRPr="002D04E1">
        <w:rPr>
          <w:rFonts w:ascii="Verdana" w:hAnsi="Verdana" w:cs="Arial"/>
          <w:bCs/>
          <w:sz w:val="24"/>
          <w:szCs w:val="24"/>
        </w:rPr>
        <w:t>włączani</w:t>
      </w:r>
      <w:r w:rsidR="00192037" w:rsidRPr="002D04E1">
        <w:rPr>
          <w:rFonts w:ascii="Verdana" w:hAnsi="Verdana" w:cs="Arial"/>
          <w:bCs/>
          <w:sz w:val="24"/>
          <w:szCs w:val="24"/>
        </w:rPr>
        <w:t>a</w:t>
      </w:r>
      <w:r w:rsidR="00EA0989" w:rsidRPr="002D04E1">
        <w:rPr>
          <w:rFonts w:ascii="Verdana" w:hAnsi="Verdana" w:cs="Arial"/>
          <w:bCs/>
          <w:sz w:val="24"/>
          <w:szCs w:val="24"/>
        </w:rPr>
        <w:t xml:space="preserve"> polskich mentorów w sieć</w:t>
      </w:r>
      <w:r w:rsidR="007F3C53" w:rsidRPr="002D04E1">
        <w:rPr>
          <w:rFonts w:ascii="Verdana" w:hAnsi="Verdana" w:cs="Arial"/>
          <w:bCs/>
          <w:sz w:val="24"/>
          <w:szCs w:val="24"/>
        </w:rPr>
        <w:t xml:space="preserve"> mentorów z krajów Europy. Koszt tego modułu będzie stanowił ok. 1</w:t>
      </w:r>
      <w:r w:rsidR="005D0617" w:rsidRPr="002D04E1">
        <w:rPr>
          <w:rFonts w:ascii="Verdana" w:hAnsi="Verdana" w:cs="Arial"/>
          <w:bCs/>
          <w:sz w:val="24"/>
          <w:szCs w:val="24"/>
        </w:rPr>
        <w:t>3</w:t>
      </w:r>
      <w:r w:rsidR="007F3C53" w:rsidRPr="002D04E1">
        <w:rPr>
          <w:rFonts w:ascii="Verdana" w:hAnsi="Verdana" w:cs="Arial"/>
          <w:bCs/>
          <w:sz w:val="24"/>
          <w:szCs w:val="24"/>
        </w:rPr>
        <w:t>% kosztów Zadania.</w:t>
      </w:r>
    </w:p>
    <w:p w14:paraId="3B7B3347" w14:textId="1811FE46" w:rsidR="00937814" w:rsidRPr="002D04E1" w:rsidRDefault="00184E40" w:rsidP="00530D9C">
      <w:pPr>
        <w:pStyle w:val="Akapitzlist"/>
        <w:numPr>
          <w:ilvl w:val="0"/>
          <w:numId w:val="23"/>
        </w:numPr>
        <w:spacing w:before="120" w:after="120" w:line="360" w:lineRule="auto"/>
        <w:contextualSpacing w:val="0"/>
        <w:rPr>
          <w:rFonts w:ascii="Verdana" w:hAnsi="Verdana" w:cs="Arial"/>
          <w:bCs/>
          <w:sz w:val="24"/>
          <w:szCs w:val="24"/>
        </w:rPr>
      </w:pPr>
      <w:r w:rsidRPr="002E122B">
        <w:rPr>
          <w:rFonts w:ascii="Verdana" w:hAnsi="Verdana" w:cs="Arial"/>
          <w:b/>
          <w:sz w:val="24"/>
          <w:szCs w:val="24"/>
        </w:rPr>
        <w:t xml:space="preserve">Zadanie - </w:t>
      </w:r>
      <w:r w:rsidR="00DB6FA7" w:rsidRPr="002E122B">
        <w:rPr>
          <w:rFonts w:ascii="Verdana" w:hAnsi="Verdana" w:cs="Arial"/>
          <w:b/>
          <w:sz w:val="24"/>
          <w:szCs w:val="24"/>
        </w:rPr>
        <w:t>Koszty pośrednie</w:t>
      </w:r>
      <w:r w:rsidR="00937814" w:rsidRPr="002D04E1">
        <w:rPr>
          <w:rFonts w:ascii="Verdana" w:hAnsi="Verdana" w:cs="Arial"/>
          <w:bCs/>
          <w:sz w:val="24"/>
          <w:szCs w:val="24"/>
        </w:rPr>
        <w:t xml:space="preserve"> - czas realizacji 48 miesięcy, 10% wartości budżetu.</w:t>
      </w:r>
    </w:p>
    <w:p w14:paraId="4891A3AA" w14:textId="1469DAAC" w:rsidR="00414B40" w:rsidRPr="002D04E1" w:rsidRDefault="00414B40"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W ramach zadania ponoszone będą wydatki </w:t>
      </w:r>
      <w:r w:rsidR="00642E9C" w:rsidRPr="002D04E1">
        <w:rPr>
          <w:rFonts w:ascii="Verdana" w:hAnsi="Verdana" w:cs="Arial"/>
          <w:bCs/>
          <w:sz w:val="24"/>
          <w:szCs w:val="24"/>
        </w:rPr>
        <w:t xml:space="preserve">zawarte w katalogu kosztów pośrednich w </w:t>
      </w:r>
      <w:r w:rsidRPr="002D04E1">
        <w:rPr>
          <w:rFonts w:ascii="Verdana" w:hAnsi="Verdana" w:cs="Arial"/>
          <w:bCs/>
          <w:sz w:val="24"/>
          <w:szCs w:val="24"/>
        </w:rPr>
        <w:t>„</w:t>
      </w:r>
      <w:r w:rsidRPr="002E122B">
        <w:rPr>
          <w:rFonts w:ascii="Verdana" w:hAnsi="Verdana" w:cs="Arial"/>
          <w:bCs/>
          <w:i/>
          <w:iCs/>
          <w:sz w:val="24"/>
          <w:szCs w:val="24"/>
        </w:rPr>
        <w:t>Wytycznych dotyczących kwalifikowalności wydatków na lata 2021-2027</w:t>
      </w:r>
      <w:r w:rsidRPr="002D04E1">
        <w:rPr>
          <w:rFonts w:ascii="Verdana" w:hAnsi="Verdana" w:cs="Arial"/>
          <w:bCs/>
          <w:sz w:val="24"/>
          <w:szCs w:val="24"/>
        </w:rPr>
        <w:t>”</w:t>
      </w:r>
      <w:r w:rsidR="00642E9C" w:rsidRPr="002D04E1">
        <w:rPr>
          <w:rFonts w:ascii="Verdana" w:hAnsi="Verdana" w:cs="Arial"/>
          <w:bCs/>
          <w:sz w:val="24"/>
          <w:szCs w:val="24"/>
        </w:rPr>
        <w:t xml:space="preserve">, </w:t>
      </w:r>
      <w:r w:rsidRPr="002D04E1">
        <w:rPr>
          <w:rFonts w:ascii="Verdana" w:hAnsi="Verdana" w:cs="Arial"/>
          <w:bCs/>
          <w:sz w:val="24"/>
          <w:szCs w:val="24"/>
        </w:rPr>
        <w:t>w szczególności:</w:t>
      </w:r>
    </w:p>
    <w:p w14:paraId="5A4A6F2A" w14:textId="1A485C25" w:rsidR="005D3F39" w:rsidRDefault="00414B40" w:rsidP="00530D9C">
      <w:pPr>
        <w:pStyle w:val="Akapitzlist"/>
        <w:numPr>
          <w:ilvl w:val="0"/>
          <w:numId w:val="26"/>
        </w:numPr>
        <w:spacing w:before="120" w:after="120" w:line="360" w:lineRule="auto"/>
        <w:contextualSpacing w:val="0"/>
        <w:rPr>
          <w:rFonts w:ascii="Verdana" w:hAnsi="Verdana" w:cs="Arial"/>
          <w:bCs/>
          <w:sz w:val="24"/>
          <w:szCs w:val="24"/>
        </w:rPr>
      </w:pPr>
      <w:r w:rsidRPr="005D3F39">
        <w:rPr>
          <w:rFonts w:ascii="Verdana" w:hAnsi="Verdana" w:cs="Arial"/>
          <w:bCs/>
          <w:sz w:val="24"/>
          <w:szCs w:val="24"/>
        </w:rPr>
        <w:t>koszty kierownika</w:t>
      </w:r>
      <w:r w:rsidR="00EE370A" w:rsidRPr="005D3F39">
        <w:rPr>
          <w:rFonts w:ascii="Verdana" w:hAnsi="Verdana" w:cs="Arial"/>
          <w:bCs/>
          <w:sz w:val="24"/>
          <w:szCs w:val="24"/>
        </w:rPr>
        <w:t xml:space="preserve"> lub kierowniczki</w:t>
      </w:r>
      <w:r w:rsidRPr="005D3F39">
        <w:rPr>
          <w:rFonts w:ascii="Verdana" w:hAnsi="Verdana" w:cs="Arial"/>
          <w:bCs/>
          <w:sz w:val="24"/>
          <w:szCs w:val="24"/>
        </w:rPr>
        <w:t xml:space="preserve"> projektu oraz innego personelu bezpośrednio angażowanego w zarządzanie, rozliczanie, monitorowanie projektu lub prowadzenie innych działań admin</w:t>
      </w:r>
      <w:r w:rsidR="00806BB1">
        <w:rPr>
          <w:rFonts w:ascii="Verdana" w:hAnsi="Verdana" w:cs="Arial"/>
          <w:bCs/>
          <w:sz w:val="24"/>
          <w:szCs w:val="24"/>
        </w:rPr>
        <w:t>istracyjnych</w:t>
      </w:r>
      <w:r w:rsidRPr="005D3F39">
        <w:rPr>
          <w:rFonts w:ascii="Verdana" w:hAnsi="Verdana" w:cs="Arial"/>
          <w:bCs/>
          <w:sz w:val="24"/>
          <w:szCs w:val="24"/>
        </w:rPr>
        <w:t xml:space="preserve"> w projekcie,</w:t>
      </w:r>
    </w:p>
    <w:p w14:paraId="30AD2770" w14:textId="77777777" w:rsidR="005D3F39" w:rsidRDefault="00414B40" w:rsidP="00530D9C">
      <w:pPr>
        <w:pStyle w:val="Akapitzlist"/>
        <w:numPr>
          <w:ilvl w:val="0"/>
          <w:numId w:val="26"/>
        </w:numPr>
        <w:spacing w:before="120" w:after="120" w:line="360" w:lineRule="auto"/>
        <w:contextualSpacing w:val="0"/>
        <w:rPr>
          <w:rFonts w:ascii="Verdana" w:hAnsi="Verdana" w:cs="Arial"/>
          <w:bCs/>
          <w:sz w:val="24"/>
          <w:szCs w:val="24"/>
        </w:rPr>
      </w:pPr>
      <w:r w:rsidRPr="005D3F39">
        <w:rPr>
          <w:rFonts w:ascii="Verdana" w:hAnsi="Verdana" w:cs="Arial"/>
          <w:bCs/>
          <w:sz w:val="24"/>
          <w:szCs w:val="24"/>
        </w:rPr>
        <w:t>wydatki związane z otworzeniem lub prowadzeniem wyodrębnionego na rzecz projektu subkonta na rachunku płatniczym lub odrębnego rachunku płatniczego,</w:t>
      </w:r>
    </w:p>
    <w:p w14:paraId="15424540" w14:textId="77777777" w:rsidR="005D3F39" w:rsidRDefault="00414B40" w:rsidP="00530D9C">
      <w:pPr>
        <w:pStyle w:val="Akapitzlist"/>
        <w:numPr>
          <w:ilvl w:val="0"/>
          <w:numId w:val="26"/>
        </w:numPr>
        <w:spacing w:before="120" w:after="120" w:line="360" w:lineRule="auto"/>
        <w:contextualSpacing w:val="0"/>
        <w:rPr>
          <w:rFonts w:ascii="Verdana" w:hAnsi="Verdana" w:cs="Arial"/>
          <w:bCs/>
          <w:sz w:val="24"/>
          <w:szCs w:val="24"/>
        </w:rPr>
      </w:pPr>
      <w:r w:rsidRPr="005D3F39">
        <w:rPr>
          <w:rFonts w:ascii="Verdana" w:hAnsi="Verdana" w:cs="Arial"/>
          <w:bCs/>
          <w:sz w:val="24"/>
          <w:szCs w:val="24"/>
        </w:rPr>
        <w:t>działania inform</w:t>
      </w:r>
      <w:r w:rsidR="007F3C53" w:rsidRPr="005D3F39">
        <w:rPr>
          <w:rFonts w:ascii="Verdana" w:hAnsi="Verdana" w:cs="Arial"/>
          <w:bCs/>
          <w:sz w:val="24"/>
          <w:szCs w:val="24"/>
        </w:rPr>
        <w:t>acyjno-</w:t>
      </w:r>
      <w:r w:rsidRPr="005D3F39">
        <w:rPr>
          <w:rFonts w:ascii="Verdana" w:hAnsi="Verdana" w:cs="Arial"/>
          <w:bCs/>
          <w:sz w:val="24"/>
          <w:szCs w:val="24"/>
        </w:rPr>
        <w:t>prom</w:t>
      </w:r>
      <w:r w:rsidR="007F3C53" w:rsidRPr="005D3F39">
        <w:rPr>
          <w:rFonts w:ascii="Verdana" w:hAnsi="Verdana" w:cs="Arial"/>
          <w:bCs/>
          <w:sz w:val="24"/>
          <w:szCs w:val="24"/>
        </w:rPr>
        <w:t xml:space="preserve">ocyjne </w:t>
      </w:r>
      <w:r w:rsidRPr="005D3F39">
        <w:rPr>
          <w:rFonts w:ascii="Verdana" w:hAnsi="Verdana" w:cs="Arial"/>
          <w:bCs/>
          <w:sz w:val="24"/>
          <w:szCs w:val="24"/>
        </w:rPr>
        <w:t>projektu, z wyłączeniem działań, o których mowa w art. 50 ust. 1 lit. e rozporządzenia ogólnego,</w:t>
      </w:r>
    </w:p>
    <w:p w14:paraId="1772FAC5" w14:textId="77777777" w:rsidR="005D3F39" w:rsidRDefault="00414B40" w:rsidP="00530D9C">
      <w:pPr>
        <w:pStyle w:val="Akapitzlist"/>
        <w:numPr>
          <w:ilvl w:val="0"/>
          <w:numId w:val="26"/>
        </w:numPr>
        <w:spacing w:before="120" w:after="120" w:line="360" w:lineRule="auto"/>
        <w:contextualSpacing w:val="0"/>
        <w:rPr>
          <w:rFonts w:ascii="Verdana" w:hAnsi="Verdana" w:cs="Arial"/>
          <w:bCs/>
          <w:sz w:val="24"/>
          <w:szCs w:val="24"/>
        </w:rPr>
      </w:pPr>
      <w:r w:rsidRPr="005D3F39">
        <w:rPr>
          <w:rFonts w:ascii="Verdana" w:hAnsi="Verdana" w:cs="Arial"/>
          <w:bCs/>
          <w:sz w:val="24"/>
          <w:szCs w:val="24"/>
        </w:rPr>
        <w:t>koszty usług pocztowych, telefonicznych, internetowych, kurierskich związanych z obsługą administracyjną projektu,</w:t>
      </w:r>
    </w:p>
    <w:p w14:paraId="3B2D7588" w14:textId="6BAAEDD5" w:rsidR="00414B40" w:rsidRPr="005D3F39" w:rsidRDefault="00414B40" w:rsidP="00530D9C">
      <w:pPr>
        <w:pStyle w:val="Akapitzlist"/>
        <w:numPr>
          <w:ilvl w:val="0"/>
          <w:numId w:val="26"/>
        </w:numPr>
        <w:spacing w:before="120" w:after="120" w:line="360" w:lineRule="auto"/>
        <w:contextualSpacing w:val="0"/>
        <w:rPr>
          <w:rFonts w:ascii="Verdana" w:hAnsi="Verdana" w:cs="Arial"/>
          <w:bCs/>
          <w:sz w:val="24"/>
          <w:szCs w:val="24"/>
        </w:rPr>
      </w:pPr>
      <w:r w:rsidRPr="005D3F39">
        <w:rPr>
          <w:rFonts w:ascii="Verdana" w:hAnsi="Verdana" w:cs="Arial"/>
          <w:bCs/>
          <w:sz w:val="24"/>
          <w:szCs w:val="24"/>
        </w:rPr>
        <w:t>koszty biurowe związane z obsługą administracyjną projektu (np. zakup materiałów biurowych i artykułów piśmienniczych, koszty usług powielania dokumentów).</w:t>
      </w:r>
    </w:p>
    <w:p w14:paraId="0A2D2947" w14:textId="77777777" w:rsidR="00FA41D8" w:rsidRPr="002D04E1" w:rsidRDefault="00414B40" w:rsidP="00530D9C">
      <w:pPr>
        <w:spacing w:before="120" w:after="120" w:line="360" w:lineRule="auto"/>
        <w:rPr>
          <w:rFonts w:ascii="Verdana" w:hAnsi="Verdana" w:cs="Arial"/>
          <w:bCs/>
          <w:sz w:val="24"/>
          <w:szCs w:val="24"/>
        </w:rPr>
      </w:pPr>
      <w:r w:rsidRPr="002D04E1">
        <w:rPr>
          <w:rFonts w:ascii="Verdana" w:hAnsi="Verdana" w:cs="Arial"/>
          <w:bCs/>
          <w:sz w:val="24"/>
          <w:szCs w:val="24"/>
        </w:rPr>
        <w:t xml:space="preserve">Powyższy katalog może ulec zmianie w trakcie realizacji projektu, w obrębie ram określonych w </w:t>
      </w:r>
      <w:r w:rsidRPr="002E122B">
        <w:rPr>
          <w:rFonts w:ascii="Verdana" w:hAnsi="Verdana" w:cs="Arial"/>
          <w:bCs/>
          <w:i/>
          <w:iCs/>
          <w:sz w:val="24"/>
          <w:szCs w:val="24"/>
        </w:rPr>
        <w:t>Wytycznych dotyczących kwalifikowalności wydatków na lata 2021-2027</w:t>
      </w:r>
      <w:r w:rsidRPr="002D04E1">
        <w:rPr>
          <w:rFonts w:ascii="Verdana" w:hAnsi="Verdana" w:cs="Arial"/>
          <w:bCs/>
          <w:sz w:val="24"/>
          <w:szCs w:val="24"/>
        </w:rPr>
        <w:t xml:space="preserve">. </w:t>
      </w:r>
    </w:p>
    <w:p w14:paraId="022B2C99" w14:textId="0AB2D8A0" w:rsidR="00DB6FA7" w:rsidRPr="002D04E1" w:rsidRDefault="00414B40" w:rsidP="00530D9C">
      <w:pPr>
        <w:spacing w:before="120" w:after="120" w:line="360" w:lineRule="auto"/>
        <w:rPr>
          <w:rFonts w:ascii="Verdana" w:hAnsi="Verdana" w:cs="Arial"/>
          <w:bCs/>
          <w:sz w:val="24"/>
          <w:szCs w:val="24"/>
        </w:rPr>
      </w:pPr>
      <w:r w:rsidRPr="002D04E1">
        <w:rPr>
          <w:rFonts w:ascii="Verdana" w:hAnsi="Verdana" w:cs="Arial"/>
          <w:bCs/>
          <w:sz w:val="24"/>
          <w:szCs w:val="24"/>
        </w:rPr>
        <w:lastRenderedPageBreak/>
        <w:t>W ramach zadania nie będą finansowane działania związane z techniczną obsługą realizacji projektu, które nie będą zgodne z katalogiem kosztów pośrednich projektu EFS+. W ramach zadania finansowane będą wyłącznie działania niezbędne do prawidłowej realizacji projektu, które zgodnie z ww. wytycznymi nie mogą zostać sfinansowane w ramach kosztów bezpośrednich. Stawka ryczałtowa została przyjęta zgodnie z ww. wytycznymi.</w:t>
      </w:r>
    </w:p>
    <w:bookmarkEnd w:id="1"/>
    <w:p w14:paraId="7DB20F15" w14:textId="77777777" w:rsidR="00246049" w:rsidRPr="002D04E1" w:rsidRDefault="00107D55" w:rsidP="00C70629">
      <w:pPr>
        <w:pStyle w:val="Nagwek2"/>
      </w:pPr>
      <w:r w:rsidRPr="002D04E1">
        <w:t>Czy projekt będzie realizowany w partnerstwie?</w:t>
      </w:r>
      <w:bookmarkStart w:id="3" w:name="_Hlk128059562"/>
    </w:p>
    <w:p w14:paraId="4CF890A4" w14:textId="1287344E" w:rsidR="00107D55" w:rsidRPr="002D04E1" w:rsidRDefault="00107D55" w:rsidP="00F85B68">
      <w:pPr>
        <w:spacing w:before="120" w:after="240" w:line="360" w:lineRule="auto"/>
        <w:contextualSpacing/>
        <w:rPr>
          <w:rFonts w:ascii="Verdana" w:hAnsi="Verdana" w:cs="Arial"/>
          <w:bCs/>
          <w:sz w:val="24"/>
          <w:szCs w:val="24"/>
        </w:rPr>
      </w:pPr>
      <w:r w:rsidRPr="002D04E1">
        <w:rPr>
          <w:rFonts w:ascii="Verdana" w:hAnsi="Verdana" w:cs="Arial"/>
          <w:bCs/>
          <w:sz w:val="24"/>
          <w:szCs w:val="24"/>
        </w:rPr>
        <w:t>Nie</w:t>
      </w:r>
    </w:p>
    <w:bookmarkEnd w:id="3"/>
    <w:p w14:paraId="2C8893C8" w14:textId="77777777" w:rsidR="00246049" w:rsidRPr="002D04E1" w:rsidRDefault="00107D55" w:rsidP="00C70629">
      <w:pPr>
        <w:pStyle w:val="Nagwek2"/>
        <w:rPr>
          <w:rFonts w:cs="Arial"/>
          <w:bCs/>
          <w:sz w:val="24"/>
          <w:szCs w:val="24"/>
        </w:rPr>
      </w:pPr>
      <w:r w:rsidRPr="002D04E1">
        <w:t>Czy projekt będzie projektem grantowym?</w:t>
      </w:r>
    </w:p>
    <w:p w14:paraId="7AF096CF" w14:textId="43B5D0A1" w:rsidR="00107D55" w:rsidRPr="002D04E1" w:rsidRDefault="00107D55" w:rsidP="00F85B68">
      <w:pPr>
        <w:spacing w:before="120" w:after="240" w:line="360" w:lineRule="auto"/>
        <w:contextualSpacing/>
        <w:rPr>
          <w:rFonts w:ascii="Verdana" w:hAnsi="Verdana" w:cs="Arial"/>
          <w:bCs/>
          <w:sz w:val="24"/>
          <w:szCs w:val="24"/>
        </w:rPr>
      </w:pPr>
      <w:r w:rsidRPr="002D04E1">
        <w:rPr>
          <w:rFonts w:ascii="Verdana" w:hAnsi="Verdana" w:cs="Arial"/>
          <w:bCs/>
          <w:sz w:val="24"/>
          <w:szCs w:val="24"/>
        </w:rPr>
        <w:t>Nie</w:t>
      </w:r>
    </w:p>
    <w:p w14:paraId="401906BE" w14:textId="5D563A36" w:rsidR="00716B26" w:rsidRPr="002D04E1" w:rsidRDefault="00107D55" w:rsidP="005D3F39">
      <w:pPr>
        <w:pStyle w:val="Nagwek2"/>
      </w:pPr>
      <w:r w:rsidRPr="002D04E1">
        <w:t>Przewidywany termin złożenia wniosku o dofinansowanie:</w:t>
      </w:r>
      <w:bookmarkStart w:id="4" w:name="_Hlk128056967"/>
      <w:r w:rsidR="0003598E" w:rsidRPr="002D04E1">
        <w:t xml:space="preserve"> </w:t>
      </w:r>
      <w:bookmarkEnd w:id="4"/>
    </w:p>
    <w:p w14:paraId="7AD6723D" w14:textId="6503B315" w:rsidR="00107D55" w:rsidRPr="002D04E1" w:rsidRDefault="00246049" w:rsidP="00F85B68">
      <w:pPr>
        <w:spacing w:before="120" w:after="240" w:line="360" w:lineRule="auto"/>
        <w:contextualSpacing/>
        <w:rPr>
          <w:rFonts w:ascii="Verdana" w:hAnsi="Verdana" w:cs="Arial"/>
          <w:bCs/>
          <w:sz w:val="24"/>
          <w:szCs w:val="24"/>
        </w:rPr>
      </w:pPr>
      <w:r w:rsidRPr="002D04E1">
        <w:rPr>
          <w:rFonts w:ascii="Verdana" w:hAnsi="Verdana" w:cs="Arial"/>
          <w:bCs/>
          <w:sz w:val="24"/>
          <w:szCs w:val="24"/>
        </w:rPr>
        <w:t>2.</w:t>
      </w:r>
      <w:r w:rsidR="0003598E" w:rsidRPr="002D04E1">
        <w:rPr>
          <w:rFonts w:ascii="Verdana" w:hAnsi="Verdana" w:cs="Arial"/>
          <w:bCs/>
          <w:sz w:val="24"/>
          <w:szCs w:val="24"/>
        </w:rPr>
        <w:t xml:space="preserve"> kwartał 202</w:t>
      </w:r>
      <w:r w:rsidR="00551E79" w:rsidRPr="002D04E1">
        <w:rPr>
          <w:rFonts w:ascii="Verdana" w:hAnsi="Verdana" w:cs="Arial"/>
          <w:bCs/>
          <w:sz w:val="24"/>
          <w:szCs w:val="24"/>
        </w:rPr>
        <w:t>5</w:t>
      </w:r>
      <w:r w:rsidR="0003598E" w:rsidRPr="002D04E1">
        <w:rPr>
          <w:rFonts w:ascii="Verdana" w:hAnsi="Verdana" w:cs="Arial"/>
          <w:bCs/>
          <w:sz w:val="24"/>
          <w:szCs w:val="24"/>
        </w:rPr>
        <w:t xml:space="preserve"> r.</w:t>
      </w:r>
    </w:p>
    <w:p w14:paraId="0E51FC8F" w14:textId="77777777" w:rsidR="005D3F39" w:rsidRDefault="00107D55" w:rsidP="00C70629">
      <w:pPr>
        <w:pStyle w:val="Nagwek2"/>
        <w:rPr>
          <w:rFonts w:cs="Arial"/>
          <w:bCs/>
          <w:sz w:val="24"/>
          <w:szCs w:val="24"/>
        </w:rPr>
      </w:pPr>
      <w:r w:rsidRPr="002D04E1">
        <w:t>Przewidywany okres realizacji projektu:</w:t>
      </w:r>
      <w:r w:rsidR="00716B26" w:rsidRPr="002D04E1">
        <w:rPr>
          <w:rFonts w:cs="Arial"/>
          <w:bCs/>
          <w:sz w:val="24"/>
          <w:szCs w:val="24"/>
        </w:rPr>
        <w:t xml:space="preserve"> </w:t>
      </w:r>
    </w:p>
    <w:p w14:paraId="6A852052" w14:textId="09D8A29D" w:rsidR="005D3F39" w:rsidRDefault="005D3F39" w:rsidP="005D3F39">
      <w:pPr>
        <w:spacing w:before="360" w:after="120"/>
        <w:rPr>
          <w:rStyle w:val="Nagwek2Znak"/>
        </w:rPr>
      </w:pPr>
      <w:r w:rsidRPr="005D3F39">
        <w:rPr>
          <w:rFonts w:ascii="Verdana" w:hAnsi="Verdana" w:cs="Arial"/>
          <w:bCs/>
          <w:sz w:val="24"/>
          <w:szCs w:val="24"/>
        </w:rPr>
        <w:t>od 1.10.2025 r. do 30.09.2029 r.</w:t>
      </w:r>
      <w:r>
        <w:t xml:space="preserve"> </w:t>
      </w:r>
    </w:p>
    <w:p w14:paraId="70CE3EF5" w14:textId="25F6075C" w:rsidR="00716B26" w:rsidRPr="005D3F39" w:rsidRDefault="00107D55" w:rsidP="005D3F39">
      <w:pPr>
        <w:pStyle w:val="Nagwek2"/>
        <w:rPr>
          <w:bCs/>
        </w:rPr>
      </w:pPr>
      <w:r w:rsidRPr="005D3F39">
        <w:rPr>
          <w:bCs/>
        </w:rPr>
        <w:t>Szacowany budżet Projektu</w:t>
      </w:r>
      <w:r w:rsidR="00B240A1" w:rsidRPr="005D3F39">
        <w:rPr>
          <w:bCs/>
        </w:rPr>
        <w:t>:</w:t>
      </w:r>
      <w:r w:rsidRPr="005D3F39">
        <w:rPr>
          <w:bCs/>
        </w:rPr>
        <w:t xml:space="preserve"> </w:t>
      </w:r>
    </w:p>
    <w:p w14:paraId="5E3739D4" w14:textId="081DE004" w:rsidR="00107D55" w:rsidRPr="002D04E1" w:rsidRDefault="00107D55" w:rsidP="00F85B68">
      <w:pPr>
        <w:spacing w:before="120" w:after="240" w:line="360" w:lineRule="auto"/>
        <w:contextualSpacing/>
        <w:rPr>
          <w:rFonts w:ascii="Verdana" w:hAnsi="Verdana" w:cs="Arial"/>
          <w:bCs/>
          <w:sz w:val="24"/>
          <w:szCs w:val="24"/>
        </w:rPr>
      </w:pPr>
      <w:r w:rsidRPr="002D04E1">
        <w:rPr>
          <w:rFonts w:ascii="Verdana" w:hAnsi="Verdana" w:cs="Arial"/>
          <w:bCs/>
          <w:sz w:val="24"/>
          <w:szCs w:val="24"/>
        </w:rPr>
        <w:t>Szacowana kwota wydatków w projekcie w podziale na lata i ogółem (PLN):</w:t>
      </w:r>
    </w:p>
    <w:p w14:paraId="212BB8DE" w14:textId="48EDAA05" w:rsidR="00E16DA9" w:rsidRPr="002D04E1" w:rsidRDefault="00E16DA9" w:rsidP="00E16DA9">
      <w:pPr>
        <w:numPr>
          <w:ilvl w:val="0"/>
          <w:numId w:val="12"/>
        </w:numPr>
        <w:spacing w:before="120" w:after="240" w:line="360" w:lineRule="auto"/>
        <w:contextualSpacing/>
        <w:rPr>
          <w:rFonts w:ascii="Verdana" w:hAnsi="Verdana" w:cs="Arial"/>
          <w:b/>
          <w:sz w:val="18"/>
          <w:szCs w:val="18"/>
        </w:rPr>
      </w:pPr>
      <w:r w:rsidRPr="002D04E1">
        <w:rPr>
          <w:rFonts w:ascii="Verdana" w:hAnsi="Verdana" w:cs="Arial"/>
          <w:sz w:val="24"/>
          <w:szCs w:val="24"/>
        </w:rPr>
        <w:t>w roku 2025</w:t>
      </w:r>
      <w:r w:rsidR="00530D9C">
        <w:rPr>
          <w:rFonts w:ascii="Verdana" w:hAnsi="Verdana" w:cs="Arial"/>
          <w:sz w:val="24"/>
          <w:szCs w:val="24"/>
        </w:rPr>
        <w:t>:</w:t>
      </w:r>
      <w:r w:rsidRPr="002D04E1">
        <w:rPr>
          <w:rFonts w:ascii="Verdana" w:hAnsi="Verdana" w:cs="Arial"/>
          <w:sz w:val="24"/>
          <w:szCs w:val="24"/>
        </w:rPr>
        <w:t xml:space="preserve"> 200</w:t>
      </w:r>
      <w:r w:rsidR="00530D9C">
        <w:rPr>
          <w:rFonts w:ascii="Verdana" w:hAnsi="Verdana" w:cs="Arial"/>
          <w:sz w:val="24"/>
          <w:szCs w:val="24"/>
        </w:rPr>
        <w:t xml:space="preserve"> </w:t>
      </w:r>
      <w:r w:rsidRPr="002D04E1">
        <w:rPr>
          <w:rFonts w:ascii="Verdana" w:hAnsi="Verdana" w:cs="Arial"/>
          <w:sz w:val="24"/>
          <w:szCs w:val="24"/>
        </w:rPr>
        <w:t>000,00</w:t>
      </w:r>
    </w:p>
    <w:p w14:paraId="47FCA3E5" w14:textId="60A050A4" w:rsidR="00890268" w:rsidRPr="002D04E1" w:rsidRDefault="00107D55" w:rsidP="00F85B68">
      <w:pPr>
        <w:numPr>
          <w:ilvl w:val="0"/>
          <w:numId w:val="12"/>
        </w:numPr>
        <w:spacing w:before="120" w:after="240" w:line="360" w:lineRule="auto"/>
        <w:contextualSpacing/>
        <w:rPr>
          <w:rFonts w:ascii="Verdana" w:hAnsi="Verdana" w:cs="Arial"/>
          <w:b/>
          <w:sz w:val="18"/>
          <w:szCs w:val="18"/>
        </w:rPr>
      </w:pPr>
      <w:r w:rsidRPr="002D04E1">
        <w:rPr>
          <w:rFonts w:ascii="Verdana" w:hAnsi="Verdana" w:cs="Arial"/>
          <w:sz w:val="24"/>
          <w:szCs w:val="24"/>
        </w:rPr>
        <w:t>w roku 202</w:t>
      </w:r>
      <w:r w:rsidR="00DA0871" w:rsidRPr="002D04E1">
        <w:rPr>
          <w:rFonts w:ascii="Verdana" w:hAnsi="Verdana" w:cs="Arial"/>
          <w:sz w:val="24"/>
          <w:szCs w:val="24"/>
        </w:rPr>
        <w:t>6</w:t>
      </w:r>
      <w:r w:rsidRPr="002D04E1">
        <w:rPr>
          <w:rFonts w:ascii="Verdana" w:hAnsi="Verdana" w:cs="Arial"/>
          <w:sz w:val="24"/>
          <w:szCs w:val="24"/>
        </w:rPr>
        <w:t>:</w:t>
      </w:r>
      <w:r w:rsidR="00970077" w:rsidRPr="002D04E1">
        <w:rPr>
          <w:rFonts w:ascii="Verdana" w:hAnsi="Verdana" w:cs="Arial"/>
          <w:sz w:val="24"/>
          <w:szCs w:val="24"/>
        </w:rPr>
        <w:t xml:space="preserve"> 1</w:t>
      </w:r>
      <w:r w:rsidR="00530D9C">
        <w:rPr>
          <w:rFonts w:ascii="Verdana" w:hAnsi="Verdana" w:cs="Arial"/>
          <w:sz w:val="24"/>
          <w:szCs w:val="24"/>
        </w:rPr>
        <w:t xml:space="preserve"> </w:t>
      </w:r>
      <w:r w:rsidR="00970077" w:rsidRPr="002D04E1">
        <w:rPr>
          <w:rFonts w:ascii="Verdana" w:hAnsi="Verdana" w:cs="Arial"/>
          <w:sz w:val="24"/>
          <w:szCs w:val="24"/>
        </w:rPr>
        <w:t>2</w:t>
      </w:r>
      <w:r w:rsidR="00A50AB0" w:rsidRPr="002D04E1">
        <w:rPr>
          <w:rFonts w:ascii="Verdana" w:hAnsi="Verdana" w:cs="Arial"/>
          <w:sz w:val="24"/>
          <w:szCs w:val="24"/>
        </w:rPr>
        <w:t>00</w:t>
      </w:r>
      <w:r w:rsidR="00530D9C">
        <w:rPr>
          <w:rFonts w:ascii="Verdana" w:hAnsi="Verdana" w:cs="Arial"/>
          <w:sz w:val="24"/>
          <w:szCs w:val="24"/>
        </w:rPr>
        <w:t xml:space="preserve"> </w:t>
      </w:r>
      <w:r w:rsidR="00A50AB0" w:rsidRPr="002D04E1">
        <w:rPr>
          <w:rFonts w:ascii="Verdana" w:hAnsi="Verdana" w:cs="Arial"/>
          <w:sz w:val="24"/>
          <w:szCs w:val="24"/>
        </w:rPr>
        <w:t>000</w:t>
      </w:r>
      <w:r w:rsidR="00890268" w:rsidRPr="002D04E1">
        <w:rPr>
          <w:rFonts w:ascii="Verdana" w:hAnsi="Verdana" w:cs="Arial"/>
          <w:sz w:val="24"/>
          <w:szCs w:val="24"/>
        </w:rPr>
        <w:t>,00</w:t>
      </w:r>
    </w:p>
    <w:p w14:paraId="628964B9" w14:textId="014280B8" w:rsidR="00107D55" w:rsidRPr="002D04E1" w:rsidRDefault="00107D55" w:rsidP="00F85B68">
      <w:pPr>
        <w:numPr>
          <w:ilvl w:val="0"/>
          <w:numId w:val="12"/>
        </w:numPr>
        <w:spacing w:before="120" w:after="240" w:line="360" w:lineRule="auto"/>
        <w:contextualSpacing/>
        <w:rPr>
          <w:rFonts w:ascii="Verdana" w:hAnsi="Verdana" w:cs="Arial"/>
          <w:b/>
          <w:sz w:val="18"/>
          <w:szCs w:val="18"/>
        </w:rPr>
      </w:pPr>
      <w:r w:rsidRPr="002D04E1">
        <w:rPr>
          <w:rFonts w:ascii="Verdana" w:hAnsi="Verdana" w:cs="Arial"/>
          <w:sz w:val="24"/>
          <w:szCs w:val="24"/>
        </w:rPr>
        <w:t>w roku 202</w:t>
      </w:r>
      <w:r w:rsidR="00DA0871" w:rsidRPr="002D04E1">
        <w:rPr>
          <w:rFonts w:ascii="Verdana" w:hAnsi="Verdana" w:cs="Arial"/>
          <w:sz w:val="24"/>
          <w:szCs w:val="24"/>
        </w:rPr>
        <w:t>7</w:t>
      </w:r>
      <w:r w:rsidRPr="002D04E1">
        <w:rPr>
          <w:rFonts w:ascii="Verdana" w:hAnsi="Verdana" w:cs="Arial"/>
          <w:sz w:val="24"/>
          <w:szCs w:val="24"/>
        </w:rPr>
        <w:t>:</w:t>
      </w:r>
      <w:r w:rsidR="00970077" w:rsidRPr="002D04E1">
        <w:rPr>
          <w:rFonts w:ascii="Verdana" w:hAnsi="Verdana" w:cs="Arial"/>
          <w:sz w:val="24"/>
          <w:szCs w:val="24"/>
        </w:rPr>
        <w:t xml:space="preserve"> 2</w:t>
      </w:r>
      <w:r w:rsidR="00530D9C">
        <w:rPr>
          <w:rFonts w:ascii="Verdana" w:hAnsi="Verdana" w:cs="Arial"/>
          <w:sz w:val="24"/>
          <w:szCs w:val="24"/>
        </w:rPr>
        <w:t> </w:t>
      </w:r>
      <w:r w:rsidR="00970077" w:rsidRPr="002D04E1">
        <w:rPr>
          <w:rFonts w:ascii="Verdana" w:hAnsi="Verdana" w:cs="Arial"/>
          <w:sz w:val="24"/>
          <w:szCs w:val="24"/>
        </w:rPr>
        <w:t>050</w:t>
      </w:r>
      <w:r w:rsidR="00530D9C">
        <w:rPr>
          <w:rFonts w:ascii="Verdana" w:hAnsi="Verdana" w:cs="Arial"/>
          <w:sz w:val="24"/>
          <w:szCs w:val="24"/>
        </w:rPr>
        <w:t xml:space="preserve"> </w:t>
      </w:r>
      <w:r w:rsidR="00970077" w:rsidRPr="002D04E1">
        <w:rPr>
          <w:rFonts w:ascii="Verdana" w:hAnsi="Verdana" w:cs="Arial"/>
          <w:sz w:val="24"/>
          <w:szCs w:val="24"/>
        </w:rPr>
        <w:t>000,00</w:t>
      </w:r>
    </w:p>
    <w:p w14:paraId="7AF83E5D" w14:textId="6F50BDDA" w:rsidR="00DA0871" w:rsidRPr="002D04E1" w:rsidRDefault="00DA0871" w:rsidP="00F85B68">
      <w:pPr>
        <w:numPr>
          <w:ilvl w:val="0"/>
          <w:numId w:val="12"/>
        </w:numPr>
        <w:spacing w:before="120" w:after="240" w:line="360" w:lineRule="auto"/>
        <w:contextualSpacing/>
        <w:rPr>
          <w:rFonts w:ascii="Verdana" w:hAnsi="Verdana" w:cs="Arial"/>
          <w:b/>
          <w:sz w:val="18"/>
          <w:szCs w:val="18"/>
        </w:rPr>
      </w:pPr>
      <w:r w:rsidRPr="002D04E1">
        <w:rPr>
          <w:rFonts w:ascii="Verdana" w:hAnsi="Verdana" w:cs="Arial"/>
          <w:sz w:val="24"/>
          <w:szCs w:val="24"/>
        </w:rPr>
        <w:t>w roku 2028:</w:t>
      </w:r>
      <w:r w:rsidR="003D28C4" w:rsidRPr="002D04E1">
        <w:rPr>
          <w:rFonts w:ascii="Verdana" w:hAnsi="Verdana" w:cs="Arial"/>
          <w:sz w:val="24"/>
          <w:szCs w:val="24"/>
        </w:rPr>
        <w:t xml:space="preserve"> </w:t>
      </w:r>
      <w:r w:rsidR="00E16DA9" w:rsidRPr="002D04E1">
        <w:rPr>
          <w:rFonts w:ascii="Verdana" w:hAnsi="Verdana" w:cs="Arial"/>
          <w:sz w:val="24"/>
          <w:szCs w:val="24"/>
        </w:rPr>
        <w:t>2</w:t>
      </w:r>
      <w:r w:rsidR="00530D9C">
        <w:rPr>
          <w:rFonts w:ascii="Verdana" w:hAnsi="Verdana" w:cs="Arial"/>
          <w:sz w:val="24"/>
          <w:szCs w:val="24"/>
        </w:rPr>
        <w:t> </w:t>
      </w:r>
      <w:r w:rsidR="00E16DA9" w:rsidRPr="002D04E1">
        <w:rPr>
          <w:rFonts w:ascii="Verdana" w:hAnsi="Verdana" w:cs="Arial"/>
          <w:sz w:val="24"/>
          <w:szCs w:val="24"/>
        </w:rPr>
        <w:t>9</w:t>
      </w:r>
      <w:r w:rsidR="003D28C4" w:rsidRPr="002D04E1">
        <w:rPr>
          <w:rFonts w:ascii="Verdana" w:hAnsi="Verdana" w:cs="Arial"/>
          <w:sz w:val="24"/>
          <w:szCs w:val="24"/>
        </w:rPr>
        <w:t>00</w:t>
      </w:r>
      <w:r w:rsidR="00530D9C">
        <w:rPr>
          <w:rFonts w:ascii="Verdana" w:hAnsi="Verdana" w:cs="Arial"/>
          <w:sz w:val="24"/>
          <w:szCs w:val="24"/>
        </w:rPr>
        <w:t xml:space="preserve"> </w:t>
      </w:r>
      <w:r w:rsidR="003D28C4" w:rsidRPr="002D04E1">
        <w:rPr>
          <w:rFonts w:ascii="Verdana" w:hAnsi="Verdana" w:cs="Arial"/>
          <w:sz w:val="24"/>
          <w:szCs w:val="24"/>
        </w:rPr>
        <w:t>000,00</w:t>
      </w:r>
    </w:p>
    <w:p w14:paraId="6178FCED" w14:textId="07903814" w:rsidR="00DA0871" w:rsidRPr="002D04E1" w:rsidRDefault="00DA0871" w:rsidP="00F85B68">
      <w:pPr>
        <w:numPr>
          <w:ilvl w:val="0"/>
          <w:numId w:val="12"/>
        </w:numPr>
        <w:spacing w:before="120" w:after="240" w:line="360" w:lineRule="auto"/>
        <w:contextualSpacing/>
        <w:rPr>
          <w:rFonts w:ascii="Verdana" w:hAnsi="Verdana" w:cs="Arial"/>
          <w:b/>
          <w:sz w:val="18"/>
          <w:szCs w:val="18"/>
        </w:rPr>
      </w:pPr>
      <w:r w:rsidRPr="002D04E1">
        <w:rPr>
          <w:rFonts w:ascii="Verdana" w:hAnsi="Verdana" w:cs="Arial"/>
          <w:sz w:val="24"/>
          <w:szCs w:val="24"/>
        </w:rPr>
        <w:t>w roku 2029:</w:t>
      </w:r>
      <w:r w:rsidR="003D28C4" w:rsidRPr="002D04E1">
        <w:rPr>
          <w:rFonts w:ascii="Verdana" w:hAnsi="Verdana" w:cs="Arial"/>
          <w:sz w:val="24"/>
          <w:szCs w:val="24"/>
        </w:rPr>
        <w:t xml:space="preserve"> </w:t>
      </w:r>
      <w:r w:rsidR="00970077" w:rsidRPr="002D04E1">
        <w:rPr>
          <w:rFonts w:ascii="Verdana" w:hAnsi="Verdana" w:cs="Arial"/>
          <w:sz w:val="24"/>
          <w:szCs w:val="24"/>
        </w:rPr>
        <w:t>1</w:t>
      </w:r>
      <w:r w:rsidR="00530D9C">
        <w:rPr>
          <w:rFonts w:ascii="Verdana" w:hAnsi="Verdana" w:cs="Arial"/>
          <w:sz w:val="24"/>
          <w:szCs w:val="24"/>
        </w:rPr>
        <w:t> </w:t>
      </w:r>
      <w:r w:rsidRPr="002D04E1">
        <w:rPr>
          <w:rFonts w:ascii="Verdana" w:hAnsi="Verdana" w:cs="Arial"/>
          <w:sz w:val="24"/>
          <w:szCs w:val="24"/>
        </w:rPr>
        <w:t>8</w:t>
      </w:r>
      <w:r w:rsidR="00970077" w:rsidRPr="002D04E1">
        <w:rPr>
          <w:rFonts w:ascii="Verdana" w:hAnsi="Verdana" w:cs="Arial"/>
          <w:sz w:val="24"/>
          <w:szCs w:val="24"/>
        </w:rPr>
        <w:t>5</w:t>
      </w:r>
      <w:r w:rsidRPr="002D04E1">
        <w:rPr>
          <w:rFonts w:ascii="Verdana" w:hAnsi="Verdana" w:cs="Arial"/>
          <w:sz w:val="24"/>
          <w:szCs w:val="24"/>
        </w:rPr>
        <w:t>0</w:t>
      </w:r>
      <w:r w:rsidR="00530D9C">
        <w:rPr>
          <w:rFonts w:ascii="Verdana" w:hAnsi="Verdana" w:cs="Arial"/>
          <w:sz w:val="24"/>
          <w:szCs w:val="24"/>
        </w:rPr>
        <w:t xml:space="preserve"> </w:t>
      </w:r>
      <w:r w:rsidRPr="002D04E1">
        <w:rPr>
          <w:rFonts w:ascii="Verdana" w:hAnsi="Verdana" w:cs="Arial"/>
          <w:sz w:val="24"/>
          <w:szCs w:val="24"/>
        </w:rPr>
        <w:t>000,00</w:t>
      </w:r>
    </w:p>
    <w:p w14:paraId="6C1FD1AD" w14:textId="60F09BF1" w:rsidR="00107D55" w:rsidRPr="002D04E1" w:rsidRDefault="00107D55" w:rsidP="00530D9C">
      <w:pPr>
        <w:spacing w:before="120" w:after="240" w:line="360" w:lineRule="auto"/>
        <w:contextualSpacing/>
        <w:rPr>
          <w:rFonts w:ascii="Verdana" w:hAnsi="Verdana" w:cs="Arial"/>
          <w:sz w:val="24"/>
          <w:szCs w:val="24"/>
        </w:rPr>
      </w:pPr>
      <w:r w:rsidRPr="002D04E1">
        <w:rPr>
          <w:rFonts w:ascii="Verdana" w:hAnsi="Verdana" w:cs="Arial"/>
          <w:sz w:val="24"/>
          <w:szCs w:val="24"/>
        </w:rPr>
        <w:t>ogółem:</w:t>
      </w:r>
      <w:r w:rsidR="00530D9C">
        <w:rPr>
          <w:rFonts w:ascii="Verdana" w:hAnsi="Verdana"/>
        </w:rPr>
        <w:t xml:space="preserve"> </w:t>
      </w:r>
      <w:r w:rsidR="00970077" w:rsidRPr="002D04E1">
        <w:rPr>
          <w:rFonts w:ascii="Verdana" w:hAnsi="Verdana" w:cs="Arial"/>
          <w:sz w:val="24"/>
          <w:szCs w:val="24"/>
        </w:rPr>
        <w:t>8</w:t>
      </w:r>
      <w:r w:rsidR="00530D9C">
        <w:rPr>
          <w:rFonts w:ascii="Verdana" w:hAnsi="Verdana" w:cs="Arial"/>
          <w:sz w:val="24"/>
          <w:szCs w:val="24"/>
        </w:rPr>
        <w:t> </w:t>
      </w:r>
      <w:r w:rsidR="00970077" w:rsidRPr="002D04E1">
        <w:rPr>
          <w:rFonts w:ascii="Verdana" w:hAnsi="Verdana" w:cs="Arial"/>
          <w:sz w:val="24"/>
          <w:szCs w:val="24"/>
        </w:rPr>
        <w:t>2</w:t>
      </w:r>
      <w:r w:rsidR="00A50AB0" w:rsidRPr="002D04E1">
        <w:rPr>
          <w:rFonts w:ascii="Verdana" w:hAnsi="Verdana" w:cs="Arial"/>
          <w:sz w:val="24"/>
          <w:szCs w:val="24"/>
        </w:rPr>
        <w:t>00</w:t>
      </w:r>
      <w:r w:rsidR="00530D9C">
        <w:rPr>
          <w:rFonts w:ascii="Verdana" w:hAnsi="Verdana" w:cs="Arial"/>
          <w:sz w:val="24"/>
          <w:szCs w:val="24"/>
        </w:rPr>
        <w:t xml:space="preserve"> </w:t>
      </w:r>
      <w:r w:rsidR="00890268" w:rsidRPr="002D04E1">
        <w:rPr>
          <w:rFonts w:ascii="Verdana" w:hAnsi="Verdana" w:cs="Arial"/>
          <w:sz w:val="24"/>
          <w:szCs w:val="24"/>
        </w:rPr>
        <w:t>000,00</w:t>
      </w:r>
    </w:p>
    <w:p w14:paraId="6FB9CCA1" w14:textId="77777777" w:rsidR="00246049" w:rsidRPr="002D04E1" w:rsidRDefault="00107D55" w:rsidP="00C70629">
      <w:pPr>
        <w:pStyle w:val="Nagwek2"/>
        <w:rPr>
          <w:bCs/>
        </w:rPr>
      </w:pPr>
      <w:r w:rsidRPr="002D04E1">
        <w:lastRenderedPageBreak/>
        <w:t>Wymagany wkład własny beneficjenta (PLN):</w:t>
      </w:r>
    </w:p>
    <w:p w14:paraId="52AAB54B" w14:textId="1942B8AC" w:rsidR="00107D55" w:rsidRPr="002D04E1" w:rsidRDefault="00107D55" w:rsidP="00F85B68">
      <w:pPr>
        <w:spacing w:before="120" w:after="240" w:line="360" w:lineRule="auto"/>
        <w:contextualSpacing/>
        <w:rPr>
          <w:rFonts w:ascii="Verdana" w:hAnsi="Verdana" w:cs="Arial"/>
          <w:bCs/>
          <w:sz w:val="24"/>
          <w:szCs w:val="24"/>
        </w:rPr>
      </w:pPr>
      <w:r w:rsidRPr="002D04E1">
        <w:rPr>
          <w:rFonts w:ascii="Verdana" w:hAnsi="Verdana" w:cs="Arial"/>
          <w:bCs/>
          <w:sz w:val="24"/>
          <w:szCs w:val="24"/>
        </w:rPr>
        <w:t>Nie</w:t>
      </w:r>
    </w:p>
    <w:p w14:paraId="136B1DD8" w14:textId="77777777" w:rsidR="00246049" w:rsidRPr="002D04E1" w:rsidRDefault="00107D55" w:rsidP="00F85B68">
      <w:pPr>
        <w:spacing w:before="120" w:after="240" w:line="360" w:lineRule="auto"/>
        <w:contextualSpacing/>
        <w:rPr>
          <w:rFonts w:ascii="Verdana" w:hAnsi="Verdana" w:cs="Arial"/>
          <w:bCs/>
          <w:sz w:val="24"/>
          <w:szCs w:val="24"/>
        </w:rPr>
      </w:pPr>
      <w:r w:rsidRPr="002D04E1">
        <w:rPr>
          <w:rFonts w:ascii="Verdana" w:hAnsi="Verdana" w:cs="Arial"/>
          <w:b/>
          <w:sz w:val="24"/>
          <w:szCs w:val="24"/>
        </w:rPr>
        <w:t>Szacowany wkład UE (PLN):</w:t>
      </w:r>
      <w:r w:rsidR="00716B26" w:rsidRPr="002D04E1">
        <w:rPr>
          <w:rFonts w:ascii="Verdana" w:hAnsi="Verdana" w:cs="Arial"/>
          <w:bCs/>
          <w:sz w:val="24"/>
          <w:szCs w:val="24"/>
        </w:rPr>
        <w:t xml:space="preserve"> </w:t>
      </w:r>
    </w:p>
    <w:p w14:paraId="48027272" w14:textId="2DE76C2E" w:rsidR="0003598E" w:rsidRPr="002D04E1" w:rsidRDefault="003D28C4" w:rsidP="00F85B68">
      <w:pPr>
        <w:spacing w:before="120" w:after="240" w:line="360" w:lineRule="auto"/>
        <w:contextualSpacing/>
        <w:rPr>
          <w:rFonts w:ascii="Verdana" w:hAnsi="Verdana" w:cs="Arial"/>
          <w:bCs/>
          <w:sz w:val="24"/>
          <w:szCs w:val="24"/>
        </w:rPr>
      </w:pPr>
      <w:r w:rsidRPr="002D04E1">
        <w:rPr>
          <w:rFonts w:ascii="Verdana" w:hAnsi="Verdana" w:cs="Arial"/>
          <w:bCs/>
          <w:sz w:val="24"/>
          <w:szCs w:val="24"/>
        </w:rPr>
        <w:t>6</w:t>
      </w:r>
      <w:r w:rsidR="00530D9C">
        <w:rPr>
          <w:rFonts w:ascii="Verdana" w:hAnsi="Verdana" w:cs="Arial"/>
          <w:bCs/>
          <w:sz w:val="24"/>
          <w:szCs w:val="24"/>
        </w:rPr>
        <w:t> </w:t>
      </w:r>
      <w:r w:rsidRPr="002D04E1">
        <w:rPr>
          <w:rFonts w:ascii="Verdana" w:hAnsi="Verdana" w:cs="Arial"/>
          <w:bCs/>
          <w:sz w:val="24"/>
          <w:szCs w:val="24"/>
        </w:rPr>
        <w:t>766</w:t>
      </w:r>
      <w:r w:rsidR="00530D9C">
        <w:rPr>
          <w:rFonts w:ascii="Verdana" w:hAnsi="Verdana" w:cs="Arial"/>
          <w:bCs/>
          <w:sz w:val="24"/>
          <w:szCs w:val="24"/>
        </w:rPr>
        <w:t xml:space="preserve"> </w:t>
      </w:r>
      <w:r w:rsidRPr="002D04E1">
        <w:rPr>
          <w:rFonts w:ascii="Verdana" w:hAnsi="Verdana" w:cs="Arial"/>
          <w:bCs/>
          <w:sz w:val="24"/>
          <w:szCs w:val="24"/>
        </w:rPr>
        <w:t>640</w:t>
      </w:r>
      <w:r w:rsidR="0003598E" w:rsidRPr="002D04E1">
        <w:rPr>
          <w:rFonts w:ascii="Verdana" w:hAnsi="Verdana" w:cs="Arial"/>
          <w:bCs/>
          <w:sz w:val="24"/>
          <w:szCs w:val="24"/>
        </w:rPr>
        <w:t xml:space="preserve">,00 </w:t>
      </w:r>
    </w:p>
    <w:p w14:paraId="4F61615B" w14:textId="7D5F8B3C" w:rsidR="00246049" w:rsidRPr="00530D9C" w:rsidRDefault="00107D55" w:rsidP="00C70629">
      <w:pPr>
        <w:pStyle w:val="Nagwek2"/>
        <w:rPr>
          <w:bCs/>
        </w:rPr>
      </w:pPr>
      <w:r w:rsidRPr="00530D9C">
        <w:rPr>
          <w:bCs/>
        </w:rPr>
        <w:t>Cross-financing:</w:t>
      </w:r>
      <w:r w:rsidRPr="00530D9C">
        <w:rPr>
          <w:bCs/>
        </w:rPr>
        <w:tab/>
      </w:r>
      <w:r w:rsidR="00565E77" w:rsidRPr="00530D9C">
        <w:rPr>
          <w:bCs/>
        </w:rPr>
        <w:tab/>
      </w:r>
      <w:r w:rsidR="00565E77" w:rsidRPr="00530D9C">
        <w:rPr>
          <w:bCs/>
        </w:rPr>
        <w:tab/>
      </w:r>
    </w:p>
    <w:p w14:paraId="24848EB8" w14:textId="556D6F70" w:rsidR="00107D55" w:rsidRPr="002D04E1" w:rsidRDefault="00246049" w:rsidP="00C70629">
      <w:pPr>
        <w:spacing w:before="120" w:after="240" w:line="360" w:lineRule="auto"/>
        <w:contextualSpacing/>
        <w:rPr>
          <w:rFonts w:ascii="Verdana" w:hAnsi="Verdana" w:cs="Arial"/>
          <w:bCs/>
          <w:sz w:val="24"/>
          <w:szCs w:val="24"/>
        </w:rPr>
      </w:pPr>
      <w:r w:rsidRPr="002D04E1">
        <w:rPr>
          <w:rFonts w:ascii="Verdana" w:hAnsi="Verdana" w:cs="Arial"/>
          <w:bCs/>
          <w:sz w:val="24"/>
          <w:szCs w:val="24"/>
        </w:rPr>
        <w:t>Nie</w:t>
      </w:r>
    </w:p>
    <w:p w14:paraId="0C63E46A" w14:textId="7EFCE625" w:rsidR="00107D55" w:rsidRPr="00806BB1" w:rsidRDefault="00107D55" w:rsidP="00F85B68">
      <w:pPr>
        <w:spacing w:before="120" w:after="240" w:line="360" w:lineRule="auto"/>
        <w:contextualSpacing/>
        <w:rPr>
          <w:rFonts w:ascii="Verdana" w:hAnsi="Verdana" w:cs="Arial"/>
          <w:b/>
          <w:sz w:val="24"/>
          <w:szCs w:val="24"/>
        </w:rPr>
      </w:pPr>
      <w:r w:rsidRPr="00806BB1">
        <w:rPr>
          <w:rFonts w:ascii="Verdana" w:hAnsi="Verdana" w:cs="Arial"/>
          <w:b/>
          <w:sz w:val="24"/>
          <w:szCs w:val="24"/>
        </w:rPr>
        <w:t>Rodzaj planowanych wydatków w ramach cross-financingu:</w:t>
      </w:r>
    </w:p>
    <w:p w14:paraId="6F3E797E" w14:textId="24B8FA76" w:rsidR="00107D55" w:rsidRPr="002D04E1" w:rsidRDefault="0003598E" w:rsidP="00F85B68">
      <w:pPr>
        <w:spacing w:before="120" w:after="240" w:line="360" w:lineRule="auto"/>
        <w:contextualSpacing/>
        <w:rPr>
          <w:rFonts w:ascii="Verdana" w:hAnsi="Verdana" w:cs="Arial"/>
          <w:bCs/>
          <w:sz w:val="24"/>
          <w:szCs w:val="24"/>
        </w:rPr>
      </w:pPr>
      <w:bookmarkStart w:id="5" w:name="_Hlk128056955"/>
      <w:r w:rsidRPr="002D04E1">
        <w:rPr>
          <w:rFonts w:ascii="Verdana" w:hAnsi="Verdana" w:cs="Arial"/>
          <w:bCs/>
          <w:sz w:val="24"/>
          <w:szCs w:val="24"/>
        </w:rPr>
        <w:t>Nie dotyczy</w:t>
      </w:r>
    </w:p>
    <w:p w14:paraId="4AC7BF73" w14:textId="6258F23A" w:rsidR="00107D55" w:rsidRPr="002D04E1" w:rsidRDefault="00107D55" w:rsidP="00C70629">
      <w:pPr>
        <w:pStyle w:val="Nagwek2"/>
        <w:rPr>
          <w:b w:val="0"/>
        </w:rPr>
      </w:pPr>
      <w:bookmarkStart w:id="6" w:name="ezdDataPodpisu_2"/>
      <w:bookmarkStart w:id="7" w:name="_Hlk128058819"/>
      <w:bookmarkEnd w:id="5"/>
      <w:bookmarkEnd w:id="6"/>
      <w:r w:rsidRPr="002D04E1">
        <w:t>Zakładane efekty Projektu wyrażone wskaźnikami</w:t>
      </w:r>
      <w:r w:rsidR="00B240A1" w:rsidRPr="002D04E1">
        <w:t>:</w:t>
      </w:r>
    </w:p>
    <w:p w14:paraId="6C086F2C" w14:textId="77777777" w:rsidR="00107D55" w:rsidRPr="002D04E1" w:rsidRDefault="00107D55" w:rsidP="00F85B68">
      <w:pPr>
        <w:spacing w:before="120" w:after="240" w:line="360" w:lineRule="auto"/>
        <w:rPr>
          <w:rFonts w:ascii="Verdana" w:hAnsi="Verdana"/>
          <w:b/>
          <w:bCs/>
          <w:sz w:val="24"/>
          <w:szCs w:val="24"/>
        </w:rPr>
      </w:pPr>
      <w:r w:rsidRPr="002D04E1">
        <w:rPr>
          <w:rFonts w:ascii="Verdana" w:hAnsi="Verdana"/>
          <w:b/>
          <w:bCs/>
          <w:sz w:val="24"/>
          <w:szCs w:val="24"/>
        </w:rPr>
        <w:t>Wskaźniki Rezultatu</w:t>
      </w:r>
    </w:p>
    <w:p w14:paraId="65FE811B" w14:textId="47161380" w:rsidR="00A50AB0" w:rsidRPr="002D04E1" w:rsidRDefault="00107D55" w:rsidP="00F85B68">
      <w:pPr>
        <w:spacing w:before="120" w:after="240" w:line="360" w:lineRule="auto"/>
        <w:contextualSpacing/>
        <w:rPr>
          <w:rFonts w:ascii="Verdana" w:hAnsi="Verdana"/>
          <w:sz w:val="24"/>
          <w:szCs w:val="24"/>
        </w:rPr>
      </w:pPr>
      <w:bookmarkStart w:id="8" w:name="_Hlk128057076"/>
      <w:r w:rsidRPr="002D04E1">
        <w:rPr>
          <w:rFonts w:ascii="Verdana" w:hAnsi="Verdana"/>
          <w:sz w:val="24"/>
          <w:szCs w:val="24"/>
        </w:rPr>
        <w:t xml:space="preserve">Nazwa wskaźnika: </w:t>
      </w:r>
      <w:r w:rsidR="00966C28" w:rsidRPr="002D04E1">
        <w:rPr>
          <w:rFonts w:ascii="Verdana" w:hAnsi="Verdana"/>
          <w:sz w:val="24"/>
          <w:szCs w:val="24"/>
        </w:rPr>
        <w:t>Uczestnicy uzyskujący kwalifikacje po zakończeniu udziału w programie</w:t>
      </w:r>
    </w:p>
    <w:p w14:paraId="10D6B912" w14:textId="3091DF80" w:rsidR="00107D55" w:rsidRPr="002D04E1" w:rsidRDefault="00A50AB0" w:rsidP="00F85B68">
      <w:pPr>
        <w:spacing w:before="120" w:after="240" w:line="360" w:lineRule="auto"/>
        <w:rPr>
          <w:rFonts w:ascii="Verdana" w:hAnsi="Verdana"/>
          <w:sz w:val="24"/>
          <w:szCs w:val="24"/>
        </w:rPr>
      </w:pPr>
      <w:r w:rsidRPr="002D04E1">
        <w:rPr>
          <w:rFonts w:ascii="Verdana" w:hAnsi="Verdana"/>
          <w:sz w:val="24"/>
          <w:szCs w:val="24"/>
        </w:rPr>
        <w:t>Wartość docelowa dla projektu:</w:t>
      </w:r>
      <w:r w:rsidR="00966C28" w:rsidRPr="002D04E1">
        <w:rPr>
          <w:rFonts w:ascii="Verdana" w:hAnsi="Verdana"/>
          <w:sz w:val="24"/>
          <w:szCs w:val="24"/>
        </w:rPr>
        <w:t xml:space="preserve"> </w:t>
      </w:r>
      <w:r w:rsidR="00591C2D" w:rsidRPr="002D04E1">
        <w:rPr>
          <w:rFonts w:ascii="Verdana" w:hAnsi="Verdana"/>
          <w:sz w:val="24"/>
          <w:szCs w:val="24"/>
        </w:rPr>
        <w:t>25</w:t>
      </w:r>
      <w:r w:rsidR="00966C28" w:rsidRPr="002D04E1">
        <w:rPr>
          <w:rFonts w:ascii="Verdana" w:hAnsi="Verdana"/>
          <w:sz w:val="24"/>
          <w:szCs w:val="24"/>
        </w:rPr>
        <w:t>2</w:t>
      </w:r>
      <w:bookmarkEnd w:id="8"/>
    </w:p>
    <w:p w14:paraId="18869C37" w14:textId="4082E833" w:rsidR="00107D55" w:rsidRPr="002D04E1" w:rsidRDefault="00107D55" w:rsidP="00F85B68">
      <w:pPr>
        <w:spacing w:before="120" w:after="240" w:line="360" w:lineRule="auto"/>
        <w:rPr>
          <w:rFonts w:ascii="Verdana" w:hAnsi="Verdana"/>
          <w:b/>
          <w:bCs/>
          <w:sz w:val="24"/>
          <w:szCs w:val="24"/>
        </w:rPr>
      </w:pPr>
      <w:r w:rsidRPr="002D04E1">
        <w:rPr>
          <w:rFonts w:ascii="Verdana" w:hAnsi="Verdana"/>
          <w:b/>
          <w:bCs/>
          <w:sz w:val="24"/>
          <w:szCs w:val="24"/>
        </w:rPr>
        <w:t>Wskaźniki Produktu</w:t>
      </w:r>
    </w:p>
    <w:p w14:paraId="52F074E8" w14:textId="07DC4828" w:rsidR="00966C28" w:rsidRPr="002D04E1" w:rsidRDefault="00107D55" w:rsidP="00F85B68">
      <w:pPr>
        <w:spacing w:before="120" w:after="240" w:line="360" w:lineRule="auto"/>
        <w:contextualSpacing/>
        <w:rPr>
          <w:rFonts w:ascii="Verdana" w:hAnsi="Verdana"/>
          <w:sz w:val="24"/>
          <w:szCs w:val="24"/>
        </w:rPr>
      </w:pPr>
      <w:r w:rsidRPr="002D04E1">
        <w:rPr>
          <w:rFonts w:ascii="Verdana" w:hAnsi="Verdana"/>
          <w:sz w:val="24"/>
          <w:szCs w:val="24"/>
        </w:rPr>
        <w:t xml:space="preserve">Nazwa wskaźnika: </w:t>
      </w:r>
      <w:r w:rsidR="00966C28" w:rsidRPr="002D04E1">
        <w:rPr>
          <w:rFonts w:ascii="Verdana" w:hAnsi="Verdana"/>
          <w:sz w:val="24"/>
          <w:szCs w:val="24"/>
        </w:rPr>
        <w:t xml:space="preserve">Liczba pracowników objętych wsparciem w obszarach kluczowych dla rozwoju społeczno-gospodarczego </w:t>
      </w:r>
    </w:p>
    <w:p w14:paraId="4133001A" w14:textId="3171C663" w:rsidR="00107D55" w:rsidRPr="002D04E1" w:rsidRDefault="00107D55" w:rsidP="00F85B68">
      <w:pPr>
        <w:spacing w:before="120" w:after="240" w:line="360" w:lineRule="auto"/>
        <w:rPr>
          <w:rFonts w:ascii="Verdana" w:hAnsi="Verdana"/>
          <w:sz w:val="24"/>
          <w:szCs w:val="24"/>
        </w:rPr>
      </w:pPr>
      <w:r w:rsidRPr="002D04E1">
        <w:rPr>
          <w:rFonts w:ascii="Verdana" w:hAnsi="Verdana"/>
          <w:sz w:val="24"/>
          <w:szCs w:val="24"/>
        </w:rPr>
        <w:t xml:space="preserve">Wartość docelowa dla projektu: </w:t>
      </w:r>
      <w:r w:rsidR="00591C2D" w:rsidRPr="002D04E1">
        <w:rPr>
          <w:rFonts w:ascii="Verdana" w:hAnsi="Verdana"/>
          <w:sz w:val="24"/>
          <w:szCs w:val="24"/>
        </w:rPr>
        <w:t>2</w:t>
      </w:r>
      <w:r w:rsidR="00966C28" w:rsidRPr="002D04E1">
        <w:rPr>
          <w:rFonts w:ascii="Verdana" w:hAnsi="Verdana"/>
          <w:sz w:val="24"/>
          <w:szCs w:val="24"/>
        </w:rPr>
        <w:t>80</w:t>
      </w:r>
    </w:p>
    <w:bookmarkEnd w:id="7"/>
    <w:p w14:paraId="5C97BE62" w14:textId="577D56BD" w:rsidR="00107D55" w:rsidRPr="002D04E1" w:rsidRDefault="00107D55" w:rsidP="00C70629">
      <w:pPr>
        <w:pStyle w:val="Nagwek2"/>
        <w:rPr>
          <w:b w:val="0"/>
        </w:rPr>
      </w:pPr>
      <w:r w:rsidRPr="002D04E1">
        <w:t>Szczegółowe kryteria wyboru projektów</w:t>
      </w:r>
      <w:r w:rsidR="00B240A1" w:rsidRPr="002D04E1">
        <w:t>:</w:t>
      </w:r>
      <w:r w:rsidRPr="002D04E1">
        <w:t xml:space="preserve"> </w:t>
      </w:r>
    </w:p>
    <w:p w14:paraId="78AE09A3" w14:textId="6EF8A11A" w:rsidR="00716B26" w:rsidRPr="002D04E1" w:rsidRDefault="00530D9C" w:rsidP="00F85B68">
      <w:pPr>
        <w:spacing w:before="120" w:after="240" w:line="360" w:lineRule="auto"/>
        <w:rPr>
          <w:rFonts w:ascii="Verdana" w:hAnsi="Verdana"/>
          <w:b/>
          <w:bCs/>
          <w:sz w:val="24"/>
          <w:szCs w:val="24"/>
        </w:rPr>
      </w:pPr>
      <w:r>
        <w:rPr>
          <w:rFonts w:ascii="Verdana" w:hAnsi="Verdana"/>
          <w:sz w:val="24"/>
          <w:szCs w:val="24"/>
        </w:rPr>
        <w:t>Nie dotyczy</w:t>
      </w:r>
    </w:p>
    <w:p w14:paraId="348E7E7F" w14:textId="4A1F5192" w:rsidR="00B240A1" w:rsidRPr="00E63FBA" w:rsidRDefault="00107D55" w:rsidP="00E63FBA">
      <w:pPr>
        <w:pStyle w:val="Nagwek1"/>
        <w:rPr>
          <w:b w:val="0"/>
        </w:rPr>
      </w:pPr>
      <w:r w:rsidRPr="002D04E1">
        <w:t>Podpis osoby upoważnionej do podejmowania decyzji w zakresie Rocznego Planu Działania:</w:t>
      </w:r>
      <w:bookmarkStart w:id="9" w:name="_Hlk128057436"/>
    </w:p>
    <w:p w14:paraId="4B21150A" w14:textId="21BFE9FD" w:rsidR="003372E1" w:rsidRPr="002D04E1" w:rsidDel="003372E1" w:rsidRDefault="00B240A1" w:rsidP="00F85B68">
      <w:pPr>
        <w:spacing w:before="120" w:after="240" w:line="360" w:lineRule="auto"/>
        <w:rPr>
          <w:rFonts w:ascii="Verdana" w:hAnsi="Verdana"/>
          <w:sz w:val="24"/>
          <w:szCs w:val="24"/>
        </w:rPr>
      </w:pPr>
      <w:r w:rsidRPr="002D04E1">
        <w:rPr>
          <w:rFonts w:ascii="Verdana" w:hAnsi="Verdana"/>
          <w:sz w:val="24"/>
          <w:szCs w:val="24"/>
        </w:rPr>
        <w:t>Miejscowość, data</w:t>
      </w:r>
      <w:r w:rsidR="003A1155">
        <w:rPr>
          <w:rFonts w:ascii="Verdana" w:hAnsi="Verdana"/>
          <w:sz w:val="24"/>
          <w:szCs w:val="24"/>
        </w:rPr>
        <w:t xml:space="preserve">: </w:t>
      </w:r>
      <w:r w:rsidR="003A1155" w:rsidRPr="003A1155">
        <w:rPr>
          <w:rFonts w:ascii="Verdana" w:hAnsi="Verdana"/>
          <w:sz w:val="24"/>
          <w:szCs w:val="24"/>
        </w:rPr>
        <w:t>Warszawa,</w:t>
      </w:r>
      <w:r w:rsidR="0077340A">
        <w:rPr>
          <w:rFonts w:ascii="Verdana" w:hAnsi="Verdana"/>
          <w:sz w:val="24"/>
          <w:szCs w:val="24"/>
        </w:rPr>
        <w:t xml:space="preserve"> </w:t>
      </w:r>
      <w:r w:rsidR="00FA3EE3">
        <w:rPr>
          <w:rFonts w:ascii="Verdana" w:hAnsi="Verdana"/>
          <w:sz w:val="24"/>
          <w:szCs w:val="24"/>
        </w:rPr>
        <w:t xml:space="preserve">25 </w:t>
      </w:r>
      <w:r w:rsidR="0077340A">
        <w:rPr>
          <w:rFonts w:ascii="Verdana" w:hAnsi="Verdana"/>
          <w:sz w:val="24"/>
          <w:szCs w:val="24"/>
        </w:rPr>
        <w:t>mar</w:t>
      </w:r>
      <w:r w:rsidR="00FA3EE3">
        <w:rPr>
          <w:rFonts w:ascii="Verdana" w:hAnsi="Verdana"/>
          <w:sz w:val="24"/>
          <w:szCs w:val="24"/>
        </w:rPr>
        <w:t>ca</w:t>
      </w:r>
      <w:r w:rsidR="0077340A">
        <w:rPr>
          <w:rFonts w:ascii="Verdana" w:hAnsi="Verdana"/>
          <w:sz w:val="24"/>
          <w:szCs w:val="24"/>
        </w:rPr>
        <w:t xml:space="preserve"> 2025 r.</w:t>
      </w:r>
    </w:p>
    <w:bookmarkEnd w:id="9"/>
    <w:p w14:paraId="65068418" w14:textId="19C57303" w:rsidR="00107D55" w:rsidRPr="002D04E1" w:rsidRDefault="00107D55" w:rsidP="0077340A">
      <w:pPr>
        <w:spacing w:before="120" w:after="240" w:line="360" w:lineRule="auto"/>
        <w:rPr>
          <w:rFonts w:ascii="Verdana" w:hAnsi="Verdana"/>
          <w:sz w:val="24"/>
          <w:szCs w:val="24"/>
        </w:rPr>
      </w:pPr>
      <w:r w:rsidRPr="002D04E1">
        <w:rPr>
          <w:rFonts w:ascii="Verdana" w:hAnsi="Verdana"/>
          <w:sz w:val="24"/>
          <w:szCs w:val="24"/>
        </w:rPr>
        <w:t>Podpis osoby upoważnionej</w:t>
      </w:r>
      <w:r w:rsidRPr="002D04E1">
        <w:rPr>
          <w:rFonts w:ascii="Verdana" w:hAnsi="Verdana"/>
          <w:sz w:val="24"/>
          <w:szCs w:val="24"/>
        </w:rPr>
        <w:tab/>
      </w:r>
      <w:r w:rsidR="0077340A">
        <w:rPr>
          <w:rFonts w:ascii="Verdana" w:hAnsi="Verdana"/>
          <w:sz w:val="24"/>
          <w:szCs w:val="24"/>
        </w:rPr>
        <w:t>Prezes PARP Katarzyna Duber-Stachurska</w:t>
      </w:r>
      <w:r w:rsidRPr="002D04E1">
        <w:rPr>
          <w:rFonts w:ascii="Verdana" w:hAnsi="Verdana"/>
          <w:sz w:val="24"/>
          <w:szCs w:val="24"/>
        </w:rPr>
        <w:t>.</w:t>
      </w:r>
    </w:p>
    <w:p w14:paraId="642B28F9" w14:textId="65D50C52" w:rsidR="008963C5" w:rsidRPr="002D04E1" w:rsidRDefault="00107D55" w:rsidP="00565E77">
      <w:pPr>
        <w:spacing w:before="120" w:after="240" w:line="360" w:lineRule="auto"/>
        <w:rPr>
          <w:rFonts w:ascii="Verdana" w:hAnsi="Verdana"/>
          <w:sz w:val="24"/>
          <w:szCs w:val="24"/>
        </w:rPr>
      </w:pPr>
      <w:r w:rsidRPr="002D04E1">
        <w:rPr>
          <w:rFonts w:ascii="Verdana" w:hAnsi="Verdana"/>
          <w:sz w:val="24"/>
          <w:szCs w:val="24"/>
        </w:rPr>
        <w:lastRenderedPageBreak/>
        <w:t>Data zatwierdzenia fiszki w ramach Rocznego Planu Działania</w:t>
      </w:r>
      <w:r w:rsidR="00CA0EBE">
        <w:rPr>
          <w:rFonts w:ascii="Verdana" w:hAnsi="Verdana"/>
          <w:sz w:val="24"/>
          <w:szCs w:val="24"/>
        </w:rPr>
        <w:t xml:space="preserve">: </w:t>
      </w:r>
      <w:r w:rsidR="0077340A" w:rsidRPr="0077340A">
        <w:rPr>
          <w:rFonts w:ascii="Verdana" w:hAnsi="Verdana"/>
          <w:sz w:val="24"/>
          <w:szCs w:val="24"/>
        </w:rPr>
        <w:t>marzec</w:t>
      </w:r>
      <w:r w:rsidR="0077340A">
        <w:rPr>
          <w:rFonts w:ascii="Verdana" w:hAnsi="Verdana"/>
          <w:sz w:val="24"/>
          <w:szCs w:val="24"/>
        </w:rPr>
        <w:t xml:space="preserve"> </w:t>
      </w:r>
      <w:r w:rsidR="0077340A" w:rsidRPr="0077340A">
        <w:rPr>
          <w:rFonts w:ascii="Verdana" w:hAnsi="Verdana"/>
          <w:sz w:val="24"/>
          <w:szCs w:val="24"/>
        </w:rPr>
        <w:t>2025 r.</w:t>
      </w:r>
    </w:p>
    <w:sectPr w:rsidR="008963C5" w:rsidRPr="002D04E1" w:rsidSect="00EA26E1">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A619" w14:textId="77777777" w:rsidR="00786879" w:rsidRDefault="00786879" w:rsidP="00107D55">
      <w:pPr>
        <w:spacing w:after="0" w:line="240" w:lineRule="auto"/>
      </w:pPr>
      <w:r>
        <w:separator/>
      </w:r>
    </w:p>
  </w:endnote>
  <w:endnote w:type="continuationSeparator" w:id="0">
    <w:p w14:paraId="4E3B6041" w14:textId="77777777" w:rsidR="00786879" w:rsidRDefault="00786879" w:rsidP="0010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2A33" w14:textId="77777777" w:rsidR="00786879" w:rsidRDefault="00786879" w:rsidP="00107D55">
      <w:pPr>
        <w:spacing w:after="0" w:line="240" w:lineRule="auto"/>
      </w:pPr>
      <w:r>
        <w:separator/>
      </w:r>
    </w:p>
  </w:footnote>
  <w:footnote w:type="continuationSeparator" w:id="0">
    <w:p w14:paraId="43C600E9" w14:textId="77777777" w:rsidR="00786879" w:rsidRDefault="00786879" w:rsidP="00107D55">
      <w:pPr>
        <w:spacing w:after="0" w:line="240" w:lineRule="auto"/>
      </w:pPr>
      <w:r>
        <w:continuationSeparator/>
      </w:r>
    </w:p>
  </w:footnote>
  <w:footnote w:id="1">
    <w:p w14:paraId="60360ED7" w14:textId="77777777" w:rsidR="00C52F79" w:rsidRDefault="00C52F79" w:rsidP="00C52F79">
      <w:pPr>
        <w:pStyle w:val="Tekstprzypisudolnego"/>
      </w:pPr>
      <w:r>
        <w:rPr>
          <w:rStyle w:val="Odwoanieprzypisudolnego"/>
        </w:rPr>
        <w:footnoteRef/>
      </w:r>
      <w:r>
        <w:t xml:space="preserve"> </w:t>
      </w:r>
      <w:hyperlink r:id="rId1" w:history="1">
        <w:r w:rsidRPr="00F254CA">
          <w:rPr>
            <w:rStyle w:val="Hipercze"/>
          </w:rPr>
          <w:t>https://www.ey.com/pl_pl/law/niewyplacalnosc-firm-polska-analiza-2023-wskazowki-2024</w:t>
        </w:r>
      </w:hyperlink>
      <w:r>
        <w:t xml:space="preserve"> (30.11.2024)</w:t>
      </w:r>
    </w:p>
  </w:footnote>
  <w:footnote w:id="2">
    <w:p w14:paraId="14E425A0" w14:textId="77777777" w:rsidR="00C52F79" w:rsidRDefault="00C52F79" w:rsidP="00C52F79">
      <w:pPr>
        <w:pStyle w:val="Tekstprzypisudolnego"/>
      </w:pPr>
      <w:r>
        <w:rPr>
          <w:rStyle w:val="Odwoanieprzypisudolnego"/>
        </w:rPr>
        <w:footnoteRef/>
      </w:r>
      <w:r>
        <w:t xml:space="preserve"> </w:t>
      </w:r>
      <w:hyperlink r:id="rId2" w:history="1">
        <w:r w:rsidRPr="00F254CA">
          <w:rPr>
            <w:rStyle w:val="Hipercze"/>
          </w:rPr>
          <w:t>https://www.coig.com.pl/2023-upadlosc-konsumencka_grudzien.php</w:t>
        </w:r>
      </w:hyperlink>
      <w:r>
        <w:t xml:space="preserve"> (30.11.2024)</w:t>
      </w:r>
    </w:p>
  </w:footnote>
  <w:footnote w:id="3">
    <w:p w14:paraId="7619F03E" w14:textId="77777777" w:rsidR="00C52F79" w:rsidRDefault="00C52F79" w:rsidP="00C52F79">
      <w:pPr>
        <w:pStyle w:val="Tekstprzypisudolnego"/>
      </w:pPr>
      <w:r>
        <w:rPr>
          <w:rStyle w:val="Odwoanieprzypisudolnego"/>
        </w:rPr>
        <w:footnoteRef/>
      </w:r>
      <w:r>
        <w:t xml:space="preserve"> </w:t>
      </w:r>
      <w:hyperlink r:id="rId3" w:history="1">
        <w:r w:rsidRPr="00F254CA">
          <w:rPr>
            <w:rStyle w:val="Hipercze"/>
          </w:rPr>
          <w:t>https://www.earlywarningeurope.eu/</w:t>
        </w:r>
      </w:hyperlink>
      <w:r>
        <w:t xml:space="preserve"> (30.11.2024)</w:t>
      </w:r>
    </w:p>
  </w:footnote>
  <w:footnote w:id="4">
    <w:p w14:paraId="5C226E5C" w14:textId="77777777" w:rsidR="00C52F79" w:rsidRDefault="00C52F79" w:rsidP="00C52F79">
      <w:pPr>
        <w:pStyle w:val="Tekstprzypisudolnego"/>
      </w:pPr>
      <w:r>
        <w:rPr>
          <w:rStyle w:val="Odwoanieprzypisudolnego"/>
        </w:rPr>
        <w:footnoteRef/>
      </w:r>
      <w:r>
        <w:t xml:space="preserve"> </w:t>
      </w:r>
      <w:hyperlink r:id="rId4" w:history="1">
        <w:r w:rsidRPr="00F254CA">
          <w:rPr>
            <w:rStyle w:val="Hipercze"/>
          </w:rPr>
          <w:t>https://www.earlywarningeurope.eu/</w:t>
        </w:r>
      </w:hyperlink>
      <w:r>
        <w:t xml:space="preserve"> (30.11.2024)</w:t>
      </w:r>
    </w:p>
  </w:footnote>
  <w:footnote w:id="5">
    <w:p w14:paraId="33932635" w14:textId="77777777" w:rsidR="00965545" w:rsidRDefault="00965545" w:rsidP="00965545">
      <w:pPr>
        <w:pStyle w:val="Tekstprzypisudolnego"/>
      </w:pPr>
      <w:r>
        <w:rPr>
          <w:rStyle w:val="Odwoanieprzypisudolnego"/>
        </w:rPr>
        <w:footnoteRef/>
      </w:r>
      <w:r>
        <w:t xml:space="preserve"> K</w:t>
      </w:r>
      <w:r w:rsidRPr="007608B0">
        <w:t>oncepcja zakłada, że edukacja i rozwój osobisty powinny trwać przez całe życie, a nie kończyć się po zakończeniu formalnej edukacji. Współczesne definicje pojęcia kształcenia ustawicznego promują ideę uczenia się przez całe życie, rozumianą przez konieczność nieprzerwanego zdobywania wiedzy od wieku przedszkolnego aż po wiek poprodukcyjny - wiek emerytalny. Konieczność ta wynikać ma z ciągłej adaptacji człowieka na każdym etapie życia. Lifelong learning odnosi się także do nieustannego rozwoju człowieka, którego celem jest pogłębianie wiedzy, rozszerzanie zakresu umiejętności i kompetencji.</w:t>
      </w:r>
    </w:p>
  </w:footnote>
  <w:footnote w:id="6">
    <w:p w14:paraId="2F2DA130" w14:textId="77777777" w:rsidR="00965545" w:rsidRDefault="00965545" w:rsidP="00965545">
      <w:pPr>
        <w:pStyle w:val="Tekstprzypisudolnego"/>
      </w:pPr>
      <w:r>
        <w:rPr>
          <w:rStyle w:val="Odwoanieprzypisudolnego"/>
        </w:rPr>
        <w:footnoteRef/>
      </w:r>
      <w:r>
        <w:t xml:space="preserve"> </w:t>
      </w:r>
      <w:r w:rsidRPr="007A5859">
        <w:t xml:space="preserve">„Raport z ewaluacji on-going działań podjętych w ramach projektu </w:t>
      </w:r>
      <w:r>
        <w:t>„</w:t>
      </w:r>
      <w:r w:rsidRPr="007A5859">
        <w:t>System wczesnego ostrzegania MMŚP w okresowych trudnościach</w:t>
      </w:r>
      <w:r>
        <w:t>”</w:t>
      </w:r>
      <w:r w:rsidRPr="007A5859">
        <w:t>, marzec 2023, badana populacja: 1247 przedsiębiorstw</w:t>
      </w:r>
    </w:p>
  </w:footnote>
  <w:footnote w:id="7">
    <w:p w14:paraId="1758B0E7" w14:textId="1EDAAB8F" w:rsidR="00B0136E" w:rsidRPr="002056A6" w:rsidRDefault="00B0136E" w:rsidP="00B0136E">
      <w:pPr>
        <w:pStyle w:val="Tekstkomentarza"/>
        <w:rPr>
          <w:rFonts w:ascii="Verdana" w:hAnsi="Verdana"/>
          <w:sz w:val="16"/>
          <w:szCs w:val="16"/>
        </w:rPr>
      </w:pPr>
      <w:r>
        <w:rPr>
          <w:rStyle w:val="Odwoanieprzypisudolnego"/>
        </w:rPr>
        <w:footnoteRef/>
      </w:r>
      <w:r>
        <w:t xml:space="preserve"> </w:t>
      </w:r>
      <w:r w:rsidRPr="002056A6">
        <w:rPr>
          <w:rFonts w:ascii="Verdana" w:hAnsi="Verdana"/>
          <w:i/>
          <w:iCs/>
          <w:sz w:val="16"/>
          <w:szCs w:val="16"/>
        </w:rPr>
        <w:t xml:space="preserve">Artykuł 3 </w:t>
      </w:r>
      <w:r w:rsidRPr="002056A6">
        <w:rPr>
          <w:rFonts w:ascii="Verdana" w:hAnsi="Verdana"/>
          <w:sz w:val="16"/>
          <w:szCs w:val="16"/>
        </w:rPr>
        <w:t>Wczesne ostrzeganie i dostęp do informacji</w:t>
      </w:r>
      <w:r w:rsidRPr="002056A6">
        <w:rPr>
          <w:rFonts w:ascii="Verdana" w:hAnsi="Verdana"/>
          <w:b/>
          <w:bCs/>
          <w:sz w:val="16"/>
          <w:szCs w:val="16"/>
        </w:rPr>
        <w:t xml:space="preserve"> </w:t>
      </w:r>
      <w:r w:rsidRPr="002056A6">
        <w:rPr>
          <w:rFonts w:ascii="Verdana" w:hAnsi="Verdana"/>
          <w:sz w:val="16"/>
          <w:szCs w:val="16"/>
        </w:rPr>
        <w:t>1.Państwa członkowskie zapewniają, aby dłużnicy mieli dostęp do jednego lub większej liczby działających w sposób jasny i przejrzysty narzędzi wczesnego ostrzegania, które pozwalają wykryć okoliczności, które mogłyby prowadzić do pojawienia się prawdopodobieństwa niewypłacalności i które mogą zasygnalizować dłużnikowi konieczność podjęcia niezwłocznych działań. Do celów akapitu pierwszego państwa członkowskie mogą korzystać z aktualnych technologii informatycznych do celów powiadomień i komunikacji internetowej. 2.Narzędzia wczesnego ostrzegania mogą obejmować: a) mechanizmy alarmowe w przypadkach, gdy dłużnik nie dokonał określonych rodzajów płatności; b) usługi doradcze świadczone przez organizacje publiczne lub prywatne; c) zachęty w ramach prawa krajowego dla osób trzecich posiadających stosowne informacje dotyczące dłużnika, takich jak księgowi, organy podatkowe lub organy ds. zabezpieczenia społecznego, aby podmioty te sygnalizowały dłużnikowi niekorzystne zmiany. 3.Państwa członkowskie zapewniają, aby dłużnicy i przedstawiciele pracowników mieli dostęp do stosownych i aktualnych informacji dotyczących dostępności narzędzi wczesnego ostrzegania, a także postępowań i środków dotyczących restrukturyzacji i umorzenia długów. 4.Państwa członkowskie zapewniają, aby informacje dotyczące dostępu do narzędzi wczesnego ostrzegania były dostępne online oraz aby informacje te były łatwo dostępne i przedstawione w sposób przyjazny dla użytkownika, w szczególności dla MŚP. 5.Państwa członkowskie mogą przewidzieć wsparcie dla przedstawicieli pracowników w zakresie oceny sytuacji ekonomicznej dłużnika.</w:t>
      </w:r>
      <w:r w:rsidR="00E0050D" w:rsidRPr="002056A6">
        <w:rPr>
          <w:rFonts w:ascii="Verdana" w:hAnsi="Verdana"/>
          <w:sz w:val="16"/>
          <w:szCs w:val="16"/>
        </w:rPr>
        <w:t xml:space="preserve"> (Dyrektywa_CELEX_32019L1023_PL).</w:t>
      </w:r>
    </w:p>
    <w:p w14:paraId="0B9ADDAE" w14:textId="1194DFC1" w:rsidR="00B0136E" w:rsidRDefault="00B0136E">
      <w:pPr>
        <w:pStyle w:val="Tekstprzypisudolnego"/>
      </w:pPr>
    </w:p>
  </w:footnote>
  <w:footnote w:id="8">
    <w:p w14:paraId="3B65699F" w14:textId="77777777" w:rsidR="00CA52AA" w:rsidRDefault="00CA52AA" w:rsidP="00CA52AA">
      <w:pPr>
        <w:pStyle w:val="Tekstprzypisudolnego"/>
      </w:pPr>
      <w:r>
        <w:rPr>
          <w:rStyle w:val="Odwoanieprzypisudolnego"/>
        </w:rPr>
        <w:footnoteRef/>
      </w:r>
      <w:r>
        <w:t xml:space="preserve"> </w:t>
      </w:r>
      <w:hyperlink r:id="rId5" w:history="1">
        <w:r w:rsidRPr="00F254CA">
          <w:rPr>
            <w:rStyle w:val="Hipercze"/>
          </w:rPr>
          <w:t>https://www.earlywarningeurope.eu/ewe-mentor-academy/our-activities/community-of-practice-and-ewema-recommendations</w:t>
        </w:r>
      </w:hyperlink>
      <w:r>
        <w:t xml:space="preserve"> (30.11.2024)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15729"/>
      <w:docPartObj>
        <w:docPartGallery w:val="Page Numbers (Top of Page)"/>
        <w:docPartUnique/>
      </w:docPartObj>
    </w:sdtPr>
    <w:sdtEndPr/>
    <w:sdtContent>
      <w:p w14:paraId="10C2DBDD" w14:textId="12DD9C6F" w:rsidR="00EA26E1" w:rsidRDefault="00EA26E1">
        <w:pPr>
          <w:pStyle w:val="Nagwek"/>
          <w:jc w:val="right"/>
        </w:pPr>
        <w:r>
          <w:fldChar w:fldCharType="begin"/>
        </w:r>
        <w:r>
          <w:instrText>PAGE   \* MERGEFORMAT</w:instrText>
        </w:r>
        <w:r>
          <w:fldChar w:fldCharType="separate"/>
        </w:r>
        <w:r>
          <w:t>2</w:t>
        </w:r>
        <w:r>
          <w:fldChar w:fldCharType="end"/>
        </w:r>
      </w:p>
    </w:sdtContent>
  </w:sdt>
  <w:p w14:paraId="4AF985E8" w14:textId="77777777" w:rsidR="00EA26E1" w:rsidRDefault="00EA26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BB8"/>
    <w:multiLevelType w:val="hybridMultilevel"/>
    <w:tmpl w:val="6608B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40C4F"/>
    <w:multiLevelType w:val="hybridMultilevel"/>
    <w:tmpl w:val="1CDA56EE"/>
    <w:lvl w:ilvl="0" w:tplc="45369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8D6073"/>
    <w:multiLevelType w:val="hybridMultilevel"/>
    <w:tmpl w:val="9BFA530A"/>
    <w:lvl w:ilvl="0" w:tplc="09E02178">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FB697A"/>
    <w:multiLevelType w:val="hybridMultilevel"/>
    <w:tmpl w:val="39FCC4D0"/>
    <w:lvl w:ilvl="0" w:tplc="45369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6F7A73"/>
    <w:multiLevelType w:val="hybridMultilevel"/>
    <w:tmpl w:val="D4846A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444A61"/>
    <w:multiLevelType w:val="hybridMultilevel"/>
    <w:tmpl w:val="3D1CDE52"/>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15:restartNumberingAfterBreak="0">
    <w:nsid w:val="38E1524A"/>
    <w:multiLevelType w:val="hybridMultilevel"/>
    <w:tmpl w:val="41D60628"/>
    <w:lvl w:ilvl="0" w:tplc="45369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ED06B8"/>
    <w:multiLevelType w:val="hybridMultilevel"/>
    <w:tmpl w:val="0E565E9C"/>
    <w:lvl w:ilvl="0" w:tplc="7CBEEE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7E3B3A"/>
    <w:multiLevelType w:val="hybridMultilevel"/>
    <w:tmpl w:val="A5A2C016"/>
    <w:lvl w:ilvl="0" w:tplc="98E89D7C">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E52B87"/>
    <w:multiLevelType w:val="hybridMultilevel"/>
    <w:tmpl w:val="DAA8E3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7448B5"/>
    <w:multiLevelType w:val="hybridMultilevel"/>
    <w:tmpl w:val="B84003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81A54DF"/>
    <w:multiLevelType w:val="hybridMultilevel"/>
    <w:tmpl w:val="E04A17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B25090A"/>
    <w:multiLevelType w:val="hybridMultilevel"/>
    <w:tmpl w:val="AD9E2A4A"/>
    <w:lvl w:ilvl="0" w:tplc="45369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052929"/>
    <w:multiLevelType w:val="hybridMultilevel"/>
    <w:tmpl w:val="E832830E"/>
    <w:lvl w:ilvl="0" w:tplc="7CBEEE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3C38F4"/>
    <w:multiLevelType w:val="hybridMultilevel"/>
    <w:tmpl w:val="375AEE00"/>
    <w:lvl w:ilvl="0" w:tplc="F984F788">
      <w:numFmt w:val="bullet"/>
      <w:lvlText w:val="•"/>
      <w:lvlJc w:val="left"/>
      <w:pPr>
        <w:ind w:left="720" w:hanging="360"/>
      </w:pPr>
      <w:rPr>
        <w:rFonts w:ascii="Verdana" w:eastAsiaTheme="minorHAnsi" w:hAnsi="Verdana" w:cstheme="minorBid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4A33E32"/>
    <w:multiLevelType w:val="hybridMultilevel"/>
    <w:tmpl w:val="963012EC"/>
    <w:lvl w:ilvl="0" w:tplc="45369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CA397B"/>
    <w:multiLevelType w:val="hybridMultilevel"/>
    <w:tmpl w:val="A98497CC"/>
    <w:lvl w:ilvl="0" w:tplc="F984F788">
      <w:numFmt w:val="bullet"/>
      <w:lvlText w:val="•"/>
      <w:lvlJc w:val="left"/>
      <w:pPr>
        <w:ind w:left="1065" w:hanging="705"/>
      </w:pPr>
      <w:rPr>
        <w:rFonts w:ascii="Verdana" w:eastAsiaTheme="minorHAnsi" w:hAnsi="Verdana" w:cstheme="minorBid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7A0037"/>
    <w:multiLevelType w:val="hybridMultilevel"/>
    <w:tmpl w:val="F5067E9A"/>
    <w:lvl w:ilvl="0" w:tplc="BE429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5814EA"/>
    <w:multiLevelType w:val="hybridMultilevel"/>
    <w:tmpl w:val="1CDEBAC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304CA2"/>
    <w:multiLevelType w:val="hybridMultilevel"/>
    <w:tmpl w:val="743202F6"/>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0" w15:restartNumberingAfterBreak="0">
    <w:nsid w:val="67D17B82"/>
    <w:multiLevelType w:val="hybridMultilevel"/>
    <w:tmpl w:val="E40AE5B2"/>
    <w:lvl w:ilvl="0" w:tplc="6C5A2C7C">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DBF128F"/>
    <w:multiLevelType w:val="hybridMultilevel"/>
    <w:tmpl w:val="6608B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F83CC7"/>
    <w:multiLevelType w:val="hybridMultilevel"/>
    <w:tmpl w:val="A2CCE700"/>
    <w:lvl w:ilvl="0" w:tplc="F984F788">
      <w:numFmt w:val="bullet"/>
      <w:lvlText w:val="•"/>
      <w:lvlJc w:val="left"/>
      <w:pPr>
        <w:ind w:left="1065" w:hanging="705"/>
      </w:pPr>
      <w:rPr>
        <w:rFonts w:ascii="Verdana" w:eastAsiaTheme="minorHAnsi" w:hAnsi="Verdana" w:cstheme="minorBidi"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F74ED6"/>
    <w:multiLevelType w:val="hybridMultilevel"/>
    <w:tmpl w:val="4F5A81BA"/>
    <w:lvl w:ilvl="0" w:tplc="BE429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7154474"/>
    <w:multiLevelType w:val="hybridMultilevel"/>
    <w:tmpl w:val="BBF649DA"/>
    <w:lvl w:ilvl="0" w:tplc="6C5A2C7C">
      <w:start w:val="1"/>
      <w:numFmt w:val="bullet"/>
      <w:lvlText w:val=""/>
      <w:lvlJc w:val="left"/>
      <w:pPr>
        <w:ind w:left="578" w:hanging="360"/>
      </w:pPr>
      <w:rPr>
        <w:rFonts w:ascii="Symbol" w:hAnsi="Symbol" w:hint="default"/>
        <w:sz w:val="18"/>
        <w:szCs w:val="18"/>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5" w15:restartNumberingAfterBreak="0">
    <w:nsid w:val="7E376375"/>
    <w:multiLevelType w:val="hybridMultilevel"/>
    <w:tmpl w:val="4D7640A6"/>
    <w:lvl w:ilvl="0" w:tplc="45369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76881604">
    <w:abstractNumId w:val="8"/>
  </w:num>
  <w:num w:numId="2" w16cid:durableId="628442008">
    <w:abstractNumId w:val="19"/>
  </w:num>
  <w:num w:numId="3" w16cid:durableId="546524558">
    <w:abstractNumId w:val="20"/>
  </w:num>
  <w:num w:numId="4" w16cid:durableId="317927346">
    <w:abstractNumId w:val="2"/>
  </w:num>
  <w:num w:numId="5" w16cid:durableId="1318344751">
    <w:abstractNumId w:val="16"/>
  </w:num>
  <w:num w:numId="6" w16cid:durableId="1094133817">
    <w:abstractNumId w:val="22"/>
  </w:num>
  <w:num w:numId="7" w16cid:durableId="1937522125">
    <w:abstractNumId w:val="14"/>
  </w:num>
  <w:num w:numId="8" w16cid:durableId="239483590">
    <w:abstractNumId w:val="5"/>
  </w:num>
  <w:num w:numId="9" w16cid:durableId="2007249660">
    <w:abstractNumId w:val="13"/>
  </w:num>
  <w:num w:numId="10" w16cid:durableId="1371144439">
    <w:abstractNumId w:val="7"/>
  </w:num>
  <w:num w:numId="11" w16cid:durableId="2000234102">
    <w:abstractNumId w:val="9"/>
  </w:num>
  <w:num w:numId="12" w16cid:durableId="589042681">
    <w:abstractNumId w:val="24"/>
  </w:num>
  <w:num w:numId="13" w16cid:durableId="1675768436">
    <w:abstractNumId w:val="10"/>
  </w:num>
  <w:num w:numId="14" w16cid:durableId="841821708">
    <w:abstractNumId w:val="0"/>
  </w:num>
  <w:num w:numId="15" w16cid:durableId="1224680529">
    <w:abstractNumId w:val="15"/>
  </w:num>
  <w:num w:numId="16" w16cid:durableId="1637179753">
    <w:abstractNumId w:val="12"/>
  </w:num>
  <w:num w:numId="17" w16cid:durableId="860628568">
    <w:abstractNumId w:val="6"/>
  </w:num>
  <w:num w:numId="18" w16cid:durableId="1255937662">
    <w:abstractNumId w:val="1"/>
  </w:num>
  <w:num w:numId="19" w16cid:durableId="105468867">
    <w:abstractNumId w:val="25"/>
  </w:num>
  <w:num w:numId="20" w16cid:durableId="723722380">
    <w:abstractNumId w:val="3"/>
  </w:num>
  <w:num w:numId="21" w16cid:durableId="1860502587">
    <w:abstractNumId w:val="17"/>
  </w:num>
  <w:num w:numId="22" w16cid:durableId="1798137068">
    <w:abstractNumId w:val="21"/>
  </w:num>
  <w:num w:numId="23" w16cid:durableId="983854712">
    <w:abstractNumId w:val="11"/>
  </w:num>
  <w:num w:numId="24" w16cid:durableId="1424185575">
    <w:abstractNumId w:val="18"/>
  </w:num>
  <w:num w:numId="25" w16cid:durableId="1026297082">
    <w:abstractNumId w:val="23"/>
  </w:num>
  <w:num w:numId="26" w16cid:durableId="209732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55"/>
    <w:rsid w:val="00003A96"/>
    <w:rsid w:val="0000582C"/>
    <w:rsid w:val="0001213F"/>
    <w:rsid w:val="00017509"/>
    <w:rsid w:val="000217F0"/>
    <w:rsid w:val="000257C7"/>
    <w:rsid w:val="00027337"/>
    <w:rsid w:val="0003598E"/>
    <w:rsid w:val="00062BAB"/>
    <w:rsid w:val="00064BBD"/>
    <w:rsid w:val="000960C7"/>
    <w:rsid w:val="00096D8A"/>
    <w:rsid w:val="000B583C"/>
    <w:rsid w:val="000B7221"/>
    <w:rsid w:val="000C41A7"/>
    <w:rsid w:val="000D5BFF"/>
    <w:rsid w:val="000F40A3"/>
    <w:rsid w:val="000F45F4"/>
    <w:rsid w:val="000F6001"/>
    <w:rsid w:val="00100184"/>
    <w:rsid w:val="00103F21"/>
    <w:rsid w:val="00107D55"/>
    <w:rsid w:val="0011003D"/>
    <w:rsid w:val="00135CCA"/>
    <w:rsid w:val="00153118"/>
    <w:rsid w:val="00153D33"/>
    <w:rsid w:val="00156094"/>
    <w:rsid w:val="001579AA"/>
    <w:rsid w:val="00161EA1"/>
    <w:rsid w:val="00174DFF"/>
    <w:rsid w:val="00175E2D"/>
    <w:rsid w:val="00181594"/>
    <w:rsid w:val="00182462"/>
    <w:rsid w:val="00184E40"/>
    <w:rsid w:val="001905BA"/>
    <w:rsid w:val="00192037"/>
    <w:rsid w:val="001925DF"/>
    <w:rsid w:val="001A292A"/>
    <w:rsid w:val="001B1D2B"/>
    <w:rsid w:val="001B6A65"/>
    <w:rsid w:val="001C0BF9"/>
    <w:rsid w:val="001D3B87"/>
    <w:rsid w:val="001E1402"/>
    <w:rsid w:val="001E5B04"/>
    <w:rsid w:val="001F2901"/>
    <w:rsid w:val="001F7A0C"/>
    <w:rsid w:val="002004C2"/>
    <w:rsid w:val="002056A6"/>
    <w:rsid w:val="00206231"/>
    <w:rsid w:val="0022140F"/>
    <w:rsid w:val="00226E7A"/>
    <w:rsid w:val="00233BBE"/>
    <w:rsid w:val="002342FA"/>
    <w:rsid w:val="00243571"/>
    <w:rsid w:val="00246049"/>
    <w:rsid w:val="00262D34"/>
    <w:rsid w:val="00266BA5"/>
    <w:rsid w:val="00271A07"/>
    <w:rsid w:val="002743B6"/>
    <w:rsid w:val="00290004"/>
    <w:rsid w:val="0029665A"/>
    <w:rsid w:val="002C34E9"/>
    <w:rsid w:val="002C457C"/>
    <w:rsid w:val="002C571D"/>
    <w:rsid w:val="002D04E1"/>
    <w:rsid w:val="002D39D2"/>
    <w:rsid w:val="002E122B"/>
    <w:rsid w:val="002E4A90"/>
    <w:rsid w:val="002F21A1"/>
    <w:rsid w:val="002F25BC"/>
    <w:rsid w:val="002F51CB"/>
    <w:rsid w:val="002F68A1"/>
    <w:rsid w:val="00303D8A"/>
    <w:rsid w:val="003102BC"/>
    <w:rsid w:val="00316DB7"/>
    <w:rsid w:val="003215BB"/>
    <w:rsid w:val="00327566"/>
    <w:rsid w:val="00331DCD"/>
    <w:rsid w:val="003324EB"/>
    <w:rsid w:val="003372E1"/>
    <w:rsid w:val="00340320"/>
    <w:rsid w:val="00345424"/>
    <w:rsid w:val="00357D38"/>
    <w:rsid w:val="003607E5"/>
    <w:rsid w:val="00367473"/>
    <w:rsid w:val="003759FF"/>
    <w:rsid w:val="003A1155"/>
    <w:rsid w:val="003A1F1F"/>
    <w:rsid w:val="003B2801"/>
    <w:rsid w:val="003B7512"/>
    <w:rsid w:val="003D28C4"/>
    <w:rsid w:val="003E0257"/>
    <w:rsid w:val="003E09FB"/>
    <w:rsid w:val="003E78A2"/>
    <w:rsid w:val="003F60B2"/>
    <w:rsid w:val="004046D9"/>
    <w:rsid w:val="00414B40"/>
    <w:rsid w:val="00423FF5"/>
    <w:rsid w:val="0042448E"/>
    <w:rsid w:val="0043157F"/>
    <w:rsid w:val="004355D1"/>
    <w:rsid w:val="00440014"/>
    <w:rsid w:val="004460BB"/>
    <w:rsid w:val="004566E2"/>
    <w:rsid w:val="00457201"/>
    <w:rsid w:val="00461C03"/>
    <w:rsid w:val="00471586"/>
    <w:rsid w:val="00476BFE"/>
    <w:rsid w:val="004857E3"/>
    <w:rsid w:val="004928AE"/>
    <w:rsid w:val="004A0E4D"/>
    <w:rsid w:val="004B0EE2"/>
    <w:rsid w:val="004B7509"/>
    <w:rsid w:val="004C1AFF"/>
    <w:rsid w:val="004D1802"/>
    <w:rsid w:val="004F458C"/>
    <w:rsid w:val="004F5C7B"/>
    <w:rsid w:val="004F602E"/>
    <w:rsid w:val="005155C2"/>
    <w:rsid w:val="005241AC"/>
    <w:rsid w:val="00530D9C"/>
    <w:rsid w:val="00532140"/>
    <w:rsid w:val="00543B04"/>
    <w:rsid w:val="00545175"/>
    <w:rsid w:val="005462B2"/>
    <w:rsid w:val="00551E79"/>
    <w:rsid w:val="00552C02"/>
    <w:rsid w:val="00557C51"/>
    <w:rsid w:val="00564258"/>
    <w:rsid w:val="00565E77"/>
    <w:rsid w:val="005828AB"/>
    <w:rsid w:val="005910D0"/>
    <w:rsid w:val="00591C2D"/>
    <w:rsid w:val="00591CB6"/>
    <w:rsid w:val="0059222F"/>
    <w:rsid w:val="005A1896"/>
    <w:rsid w:val="005A5738"/>
    <w:rsid w:val="005B2F6B"/>
    <w:rsid w:val="005C2E18"/>
    <w:rsid w:val="005C67FA"/>
    <w:rsid w:val="005C70B3"/>
    <w:rsid w:val="005D0617"/>
    <w:rsid w:val="005D3F39"/>
    <w:rsid w:val="005D60BF"/>
    <w:rsid w:val="005E079B"/>
    <w:rsid w:val="005E421A"/>
    <w:rsid w:val="005F3A69"/>
    <w:rsid w:val="006026DB"/>
    <w:rsid w:val="00604699"/>
    <w:rsid w:val="0061310B"/>
    <w:rsid w:val="00627CA6"/>
    <w:rsid w:val="00630D5C"/>
    <w:rsid w:val="00632873"/>
    <w:rsid w:val="00642E9C"/>
    <w:rsid w:val="0065034C"/>
    <w:rsid w:val="00651435"/>
    <w:rsid w:val="00653428"/>
    <w:rsid w:val="0066165E"/>
    <w:rsid w:val="00686699"/>
    <w:rsid w:val="00686C89"/>
    <w:rsid w:val="00694C07"/>
    <w:rsid w:val="00696975"/>
    <w:rsid w:val="006A49CB"/>
    <w:rsid w:val="006B0251"/>
    <w:rsid w:val="006C2590"/>
    <w:rsid w:val="006C5C0F"/>
    <w:rsid w:val="006C70A7"/>
    <w:rsid w:val="006D0CF7"/>
    <w:rsid w:val="006D7ADA"/>
    <w:rsid w:val="006E2BA7"/>
    <w:rsid w:val="0070407F"/>
    <w:rsid w:val="00707C8B"/>
    <w:rsid w:val="00712C20"/>
    <w:rsid w:val="0071381F"/>
    <w:rsid w:val="00716B26"/>
    <w:rsid w:val="00721404"/>
    <w:rsid w:val="00723319"/>
    <w:rsid w:val="00730595"/>
    <w:rsid w:val="00730B6D"/>
    <w:rsid w:val="00730C9A"/>
    <w:rsid w:val="0073779F"/>
    <w:rsid w:val="00742416"/>
    <w:rsid w:val="00747D8F"/>
    <w:rsid w:val="007536D5"/>
    <w:rsid w:val="00756DA2"/>
    <w:rsid w:val="007608B0"/>
    <w:rsid w:val="00763F07"/>
    <w:rsid w:val="0077340A"/>
    <w:rsid w:val="00773951"/>
    <w:rsid w:val="007757E9"/>
    <w:rsid w:val="00780090"/>
    <w:rsid w:val="00782557"/>
    <w:rsid w:val="00786879"/>
    <w:rsid w:val="00793F02"/>
    <w:rsid w:val="007A1271"/>
    <w:rsid w:val="007A57C2"/>
    <w:rsid w:val="007A5859"/>
    <w:rsid w:val="007A6F3B"/>
    <w:rsid w:val="007B13E5"/>
    <w:rsid w:val="007B5C7F"/>
    <w:rsid w:val="007C0243"/>
    <w:rsid w:val="007C1E72"/>
    <w:rsid w:val="007E3972"/>
    <w:rsid w:val="007F15A8"/>
    <w:rsid w:val="007F3C53"/>
    <w:rsid w:val="0080088E"/>
    <w:rsid w:val="00806BB1"/>
    <w:rsid w:val="00820581"/>
    <w:rsid w:val="00825594"/>
    <w:rsid w:val="00827549"/>
    <w:rsid w:val="00835CE4"/>
    <w:rsid w:val="0083699A"/>
    <w:rsid w:val="00844F2D"/>
    <w:rsid w:val="00847D6B"/>
    <w:rsid w:val="00861BDF"/>
    <w:rsid w:val="00863000"/>
    <w:rsid w:val="00864446"/>
    <w:rsid w:val="00870AF6"/>
    <w:rsid w:val="00872FB3"/>
    <w:rsid w:val="00873CDC"/>
    <w:rsid w:val="00890268"/>
    <w:rsid w:val="008963C5"/>
    <w:rsid w:val="008A4241"/>
    <w:rsid w:val="008C37D5"/>
    <w:rsid w:val="008C6A42"/>
    <w:rsid w:val="008C7F92"/>
    <w:rsid w:val="008D02E8"/>
    <w:rsid w:val="008D1BE0"/>
    <w:rsid w:val="008D3D9E"/>
    <w:rsid w:val="008D524A"/>
    <w:rsid w:val="008D6133"/>
    <w:rsid w:val="0090011E"/>
    <w:rsid w:val="00905AD8"/>
    <w:rsid w:val="009148E1"/>
    <w:rsid w:val="00924B1C"/>
    <w:rsid w:val="00937814"/>
    <w:rsid w:val="00941EB3"/>
    <w:rsid w:val="00944343"/>
    <w:rsid w:val="00965545"/>
    <w:rsid w:val="00966C28"/>
    <w:rsid w:val="00970077"/>
    <w:rsid w:val="009715DE"/>
    <w:rsid w:val="00971DC0"/>
    <w:rsid w:val="009A62F3"/>
    <w:rsid w:val="009B1C19"/>
    <w:rsid w:val="009B4E18"/>
    <w:rsid w:val="009B6A68"/>
    <w:rsid w:val="009C1950"/>
    <w:rsid w:val="009C3534"/>
    <w:rsid w:val="009D0266"/>
    <w:rsid w:val="009D1FFC"/>
    <w:rsid w:val="009D726F"/>
    <w:rsid w:val="009D751A"/>
    <w:rsid w:val="009D78CE"/>
    <w:rsid w:val="009E5E5D"/>
    <w:rsid w:val="009E7819"/>
    <w:rsid w:val="009F434A"/>
    <w:rsid w:val="009F616B"/>
    <w:rsid w:val="00A12812"/>
    <w:rsid w:val="00A20CF7"/>
    <w:rsid w:val="00A2236E"/>
    <w:rsid w:val="00A448B3"/>
    <w:rsid w:val="00A4581C"/>
    <w:rsid w:val="00A50857"/>
    <w:rsid w:val="00A50AB0"/>
    <w:rsid w:val="00A52C6C"/>
    <w:rsid w:val="00A66891"/>
    <w:rsid w:val="00A72726"/>
    <w:rsid w:val="00A73B87"/>
    <w:rsid w:val="00A80351"/>
    <w:rsid w:val="00AB2360"/>
    <w:rsid w:val="00AC16B6"/>
    <w:rsid w:val="00AC1B10"/>
    <w:rsid w:val="00AC2B44"/>
    <w:rsid w:val="00AD063C"/>
    <w:rsid w:val="00AD31B2"/>
    <w:rsid w:val="00AF0516"/>
    <w:rsid w:val="00AF6081"/>
    <w:rsid w:val="00B0136E"/>
    <w:rsid w:val="00B06567"/>
    <w:rsid w:val="00B07C6F"/>
    <w:rsid w:val="00B166F6"/>
    <w:rsid w:val="00B240A1"/>
    <w:rsid w:val="00B34CA5"/>
    <w:rsid w:val="00B35419"/>
    <w:rsid w:val="00B35502"/>
    <w:rsid w:val="00B36D98"/>
    <w:rsid w:val="00B40398"/>
    <w:rsid w:val="00B404B7"/>
    <w:rsid w:val="00B4501D"/>
    <w:rsid w:val="00B4610E"/>
    <w:rsid w:val="00B512D5"/>
    <w:rsid w:val="00B5387C"/>
    <w:rsid w:val="00B5587D"/>
    <w:rsid w:val="00B57FA9"/>
    <w:rsid w:val="00B72617"/>
    <w:rsid w:val="00B76D5E"/>
    <w:rsid w:val="00B77C04"/>
    <w:rsid w:val="00B80657"/>
    <w:rsid w:val="00B84E85"/>
    <w:rsid w:val="00B855DD"/>
    <w:rsid w:val="00B9138E"/>
    <w:rsid w:val="00B92B33"/>
    <w:rsid w:val="00B95628"/>
    <w:rsid w:val="00B9679C"/>
    <w:rsid w:val="00BA1E88"/>
    <w:rsid w:val="00BB0440"/>
    <w:rsid w:val="00BC1DD2"/>
    <w:rsid w:val="00BF1037"/>
    <w:rsid w:val="00C126F6"/>
    <w:rsid w:val="00C1389F"/>
    <w:rsid w:val="00C151BC"/>
    <w:rsid w:val="00C16290"/>
    <w:rsid w:val="00C163A1"/>
    <w:rsid w:val="00C17530"/>
    <w:rsid w:val="00C41126"/>
    <w:rsid w:val="00C415D4"/>
    <w:rsid w:val="00C4364F"/>
    <w:rsid w:val="00C52F79"/>
    <w:rsid w:val="00C56AF2"/>
    <w:rsid w:val="00C574EA"/>
    <w:rsid w:val="00C62666"/>
    <w:rsid w:val="00C6485A"/>
    <w:rsid w:val="00C70629"/>
    <w:rsid w:val="00C82AC0"/>
    <w:rsid w:val="00C937C8"/>
    <w:rsid w:val="00CA0EBE"/>
    <w:rsid w:val="00CA4449"/>
    <w:rsid w:val="00CA48AC"/>
    <w:rsid w:val="00CA52AA"/>
    <w:rsid w:val="00CB68F6"/>
    <w:rsid w:val="00CB79A7"/>
    <w:rsid w:val="00CC62DB"/>
    <w:rsid w:val="00CE1208"/>
    <w:rsid w:val="00CE709A"/>
    <w:rsid w:val="00CF151E"/>
    <w:rsid w:val="00D021D6"/>
    <w:rsid w:val="00D06A7E"/>
    <w:rsid w:val="00D20A2C"/>
    <w:rsid w:val="00D21699"/>
    <w:rsid w:val="00D25D12"/>
    <w:rsid w:val="00D25F78"/>
    <w:rsid w:val="00D344E3"/>
    <w:rsid w:val="00D348DB"/>
    <w:rsid w:val="00D36D81"/>
    <w:rsid w:val="00D44203"/>
    <w:rsid w:val="00D51D51"/>
    <w:rsid w:val="00D52F24"/>
    <w:rsid w:val="00D57D9E"/>
    <w:rsid w:val="00D725B7"/>
    <w:rsid w:val="00D822B0"/>
    <w:rsid w:val="00D837B4"/>
    <w:rsid w:val="00DA0871"/>
    <w:rsid w:val="00DA47AF"/>
    <w:rsid w:val="00DB3E4F"/>
    <w:rsid w:val="00DB6FA7"/>
    <w:rsid w:val="00DD5CB4"/>
    <w:rsid w:val="00DE13F7"/>
    <w:rsid w:val="00DE4B98"/>
    <w:rsid w:val="00DE53E9"/>
    <w:rsid w:val="00DE6530"/>
    <w:rsid w:val="00DF2B88"/>
    <w:rsid w:val="00E0050D"/>
    <w:rsid w:val="00E06CAB"/>
    <w:rsid w:val="00E106AD"/>
    <w:rsid w:val="00E1255B"/>
    <w:rsid w:val="00E16DA9"/>
    <w:rsid w:val="00E241B0"/>
    <w:rsid w:val="00E25B5D"/>
    <w:rsid w:val="00E52A63"/>
    <w:rsid w:val="00E556A6"/>
    <w:rsid w:val="00E611D3"/>
    <w:rsid w:val="00E63FBA"/>
    <w:rsid w:val="00E75C0C"/>
    <w:rsid w:val="00E762EC"/>
    <w:rsid w:val="00E80997"/>
    <w:rsid w:val="00E91B84"/>
    <w:rsid w:val="00E9271D"/>
    <w:rsid w:val="00EA0989"/>
    <w:rsid w:val="00EA26E1"/>
    <w:rsid w:val="00EC66CD"/>
    <w:rsid w:val="00EC788F"/>
    <w:rsid w:val="00ED4600"/>
    <w:rsid w:val="00ED55D6"/>
    <w:rsid w:val="00EE081F"/>
    <w:rsid w:val="00EE370A"/>
    <w:rsid w:val="00EF7560"/>
    <w:rsid w:val="00F01179"/>
    <w:rsid w:val="00F1748D"/>
    <w:rsid w:val="00F1785A"/>
    <w:rsid w:val="00F22B24"/>
    <w:rsid w:val="00F300BE"/>
    <w:rsid w:val="00F30E12"/>
    <w:rsid w:val="00F35853"/>
    <w:rsid w:val="00F36FF2"/>
    <w:rsid w:val="00F37785"/>
    <w:rsid w:val="00F422B2"/>
    <w:rsid w:val="00F50BFC"/>
    <w:rsid w:val="00F617D0"/>
    <w:rsid w:val="00F671F7"/>
    <w:rsid w:val="00F71DCE"/>
    <w:rsid w:val="00F75472"/>
    <w:rsid w:val="00F84D76"/>
    <w:rsid w:val="00F85B68"/>
    <w:rsid w:val="00F91A39"/>
    <w:rsid w:val="00F96D0A"/>
    <w:rsid w:val="00FA01DB"/>
    <w:rsid w:val="00FA3EE3"/>
    <w:rsid w:val="00FA41D8"/>
    <w:rsid w:val="00FB1440"/>
    <w:rsid w:val="00FB27B2"/>
    <w:rsid w:val="00FB427C"/>
    <w:rsid w:val="00FC6174"/>
    <w:rsid w:val="00FE0966"/>
    <w:rsid w:val="00FE73E1"/>
    <w:rsid w:val="00FF25F5"/>
    <w:rsid w:val="00FF7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A02B"/>
  <w15:chartTrackingRefBased/>
  <w15:docId w15:val="{62DDDF04-A674-4CA8-A619-917505C5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422B2"/>
    <w:pPr>
      <w:keepNext/>
      <w:keepLines/>
      <w:spacing w:before="360" w:after="120" w:line="360" w:lineRule="auto"/>
      <w:outlineLvl w:val="0"/>
    </w:pPr>
    <w:rPr>
      <w:rFonts w:ascii="Verdana" w:eastAsiaTheme="majorEastAsia" w:hAnsi="Verdana" w:cstheme="majorBidi"/>
      <w:b/>
      <w:sz w:val="32"/>
      <w:szCs w:val="32"/>
      <w:lang w:eastAsia="pl-PL"/>
    </w:rPr>
  </w:style>
  <w:style w:type="paragraph" w:styleId="Nagwek2">
    <w:name w:val="heading 2"/>
    <w:basedOn w:val="Normalny"/>
    <w:next w:val="Normalny"/>
    <w:link w:val="Nagwek2Znak"/>
    <w:unhideWhenUsed/>
    <w:qFormat/>
    <w:rsid w:val="00861BDF"/>
    <w:pPr>
      <w:keepNext/>
      <w:keepLines/>
      <w:spacing w:before="360" w:after="120" w:line="360" w:lineRule="auto"/>
      <w:outlineLvl w:val="1"/>
    </w:pPr>
    <w:rPr>
      <w:rFonts w:ascii="Verdana" w:eastAsiaTheme="majorEastAsia" w:hAnsi="Verdana" w:cstheme="majorBidi"/>
      <w:b/>
      <w:sz w:val="28"/>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07D55"/>
    <w:rPr>
      <w:sz w:val="16"/>
      <w:szCs w:val="16"/>
    </w:rPr>
  </w:style>
  <w:style w:type="paragraph" w:styleId="Tekstkomentarza">
    <w:name w:val="annotation text"/>
    <w:basedOn w:val="Normalny"/>
    <w:link w:val="TekstkomentarzaZnak"/>
    <w:uiPriority w:val="99"/>
    <w:unhideWhenUsed/>
    <w:rsid w:val="00107D55"/>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107D55"/>
    <w:rPr>
      <w:sz w:val="20"/>
      <w:szCs w:val="2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107D55"/>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single spa Znak"/>
    <w:basedOn w:val="Domylnaczcionkaakapitu"/>
    <w:link w:val="Tekstprzypisudolnego"/>
    <w:rsid w:val="00107D55"/>
    <w:rPr>
      <w:sz w:val="20"/>
      <w:szCs w:val="20"/>
    </w:rPr>
  </w:style>
  <w:style w:type="character" w:styleId="Odwoanieprzypisudolnego">
    <w:name w:val="footnote reference"/>
    <w:aliases w:val="Footnote Reference Number"/>
    <w:basedOn w:val="Domylnaczcionkaakapitu"/>
    <w:uiPriority w:val="99"/>
    <w:unhideWhenUsed/>
    <w:rsid w:val="00107D55"/>
    <w:rPr>
      <w:vertAlign w:val="superscript"/>
    </w:rPr>
  </w:style>
  <w:style w:type="character" w:styleId="Hipercze">
    <w:name w:val="Hyperlink"/>
    <w:basedOn w:val="Domylnaczcionkaakapitu"/>
    <w:uiPriority w:val="99"/>
    <w:unhideWhenUsed/>
    <w:rsid w:val="00632873"/>
    <w:rPr>
      <w:color w:val="0563C1" w:themeColor="hyperlink"/>
      <w:u w:val="single"/>
    </w:rPr>
  </w:style>
  <w:style w:type="character" w:customStyle="1" w:styleId="Nierozpoznanawzmianka1">
    <w:name w:val="Nierozpoznana wzmianka1"/>
    <w:basedOn w:val="Domylnaczcionkaakapitu"/>
    <w:uiPriority w:val="99"/>
    <w:semiHidden/>
    <w:unhideWhenUsed/>
    <w:rsid w:val="00632873"/>
    <w:rPr>
      <w:color w:val="605E5C"/>
      <w:shd w:val="clear" w:color="auto" w:fill="E1DFDD"/>
    </w:rPr>
  </w:style>
  <w:style w:type="paragraph" w:styleId="Akapitzlist">
    <w:name w:val="List Paragraph"/>
    <w:basedOn w:val="Normalny"/>
    <w:uiPriority w:val="34"/>
    <w:qFormat/>
    <w:rsid w:val="00632873"/>
    <w:pPr>
      <w:ind w:left="720"/>
      <w:contextualSpacing/>
    </w:pPr>
  </w:style>
  <w:style w:type="paragraph" w:styleId="Tekstprzypisukocowego">
    <w:name w:val="endnote text"/>
    <w:basedOn w:val="Normalny"/>
    <w:link w:val="TekstprzypisukocowegoZnak"/>
    <w:uiPriority w:val="99"/>
    <w:semiHidden/>
    <w:unhideWhenUsed/>
    <w:rsid w:val="00A223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2236E"/>
    <w:rPr>
      <w:sz w:val="20"/>
      <w:szCs w:val="20"/>
    </w:rPr>
  </w:style>
  <w:style w:type="character" w:styleId="Odwoanieprzypisukocowego">
    <w:name w:val="endnote reference"/>
    <w:basedOn w:val="Domylnaczcionkaakapitu"/>
    <w:uiPriority w:val="99"/>
    <w:semiHidden/>
    <w:unhideWhenUsed/>
    <w:rsid w:val="00A2236E"/>
    <w:rPr>
      <w:vertAlign w:val="superscript"/>
    </w:rPr>
  </w:style>
  <w:style w:type="character" w:customStyle="1" w:styleId="ui-provider">
    <w:name w:val="ui-provider"/>
    <w:basedOn w:val="Domylnaczcionkaakapitu"/>
    <w:rsid w:val="00B57FA9"/>
  </w:style>
  <w:style w:type="paragraph" w:styleId="Tematkomentarza">
    <w:name w:val="annotation subject"/>
    <w:basedOn w:val="Tekstkomentarza"/>
    <w:next w:val="Tekstkomentarza"/>
    <w:link w:val="TematkomentarzaZnak"/>
    <w:uiPriority w:val="99"/>
    <w:semiHidden/>
    <w:unhideWhenUsed/>
    <w:rsid w:val="00E611D3"/>
    <w:pPr>
      <w:spacing w:after="160"/>
    </w:pPr>
    <w:rPr>
      <w:b/>
      <w:bCs/>
    </w:rPr>
  </w:style>
  <w:style w:type="character" w:customStyle="1" w:styleId="TematkomentarzaZnak">
    <w:name w:val="Temat komentarza Znak"/>
    <w:basedOn w:val="TekstkomentarzaZnak"/>
    <w:link w:val="Tematkomentarza"/>
    <w:uiPriority w:val="99"/>
    <w:semiHidden/>
    <w:rsid w:val="00E611D3"/>
    <w:rPr>
      <w:b/>
      <w:bCs/>
      <w:sz w:val="20"/>
      <w:szCs w:val="20"/>
    </w:rPr>
  </w:style>
  <w:style w:type="paragraph" w:styleId="Tekstdymka">
    <w:name w:val="Balloon Text"/>
    <w:basedOn w:val="Normalny"/>
    <w:link w:val="TekstdymkaZnak"/>
    <w:uiPriority w:val="99"/>
    <w:semiHidden/>
    <w:unhideWhenUsed/>
    <w:rsid w:val="00E762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62EC"/>
    <w:rPr>
      <w:rFonts w:ascii="Segoe UI" w:hAnsi="Segoe UI" w:cs="Segoe UI"/>
      <w:sz w:val="18"/>
      <w:szCs w:val="18"/>
    </w:rPr>
  </w:style>
  <w:style w:type="paragraph" w:styleId="Poprawka">
    <w:name w:val="Revision"/>
    <w:hidden/>
    <w:uiPriority w:val="99"/>
    <w:semiHidden/>
    <w:rsid w:val="00686C89"/>
    <w:pPr>
      <w:spacing w:after="0" w:line="240" w:lineRule="auto"/>
    </w:pPr>
  </w:style>
  <w:style w:type="character" w:styleId="Nierozpoznanawzmianka">
    <w:name w:val="Unresolved Mention"/>
    <w:basedOn w:val="Domylnaczcionkaakapitu"/>
    <w:uiPriority w:val="99"/>
    <w:semiHidden/>
    <w:unhideWhenUsed/>
    <w:rsid w:val="009B1C19"/>
    <w:rPr>
      <w:color w:val="605E5C"/>
      <w:shd w:val="clear" w:color="auto" w:fill="E1DFDD"/>
    </w:rPr>
  </w:style>
  <w:style w:type="paragraph" w:styleId="Nagwek">
    <w:name w:val="header"/>
    <w:basedOn w:val="Normalny"/>
    <w:link w:val="NagwekZnak"/>
    <w:uiPriority w:val="99"/>
    <w:unhideWhenUsed/>
    <w:rsid w:val="00EA26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26E1"/>
  </w:style>
  <w:style w:type="paragraph" w:styleId="Stopka">
    <w:name w:val="footer"/>
    <w:basedOn w:val="Normalny"/>
    <w:link w:val="StopkaZnak"/>
    <w:uiPriority w:val="99"/>
    <w:unhideWhenUsed/>
    <w:rsid w:val="00EA26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26E1"/>
  </w:style>
  <w:style w:type="character" w:customStyle="1" w:styleId="Nagwek2Znak">
    <w:name w:val="Nagłówek 2 Znak"/>
    <w:basedOn w:val="Domylnaczcionkaakapitu"/>
    <w:link w:val="Nagwek2"/>
    <w:uiPriority w:val="9"/>
    <w:rsid w:val="00861BDF"/>
    <w:rPr>
      <w:rFonts w:ascii="Verdana" w:eastAsiaTheme="majorEastAsia" w:hAnsi="Verdana" w:cstheme="majorBidi"/>
      <w:b/>
      <w:sz w:val="28"/>
      <w:szCs w:val="26"/>
      <w:lang w:eastAsia="pl-PL"/>
    </w:rPr>
  </w:style>
  <w:style w:type="character" w:customStyle="1" w:styleId="Nagwek1Znak">
    <w:name w:val="Nagłówek 1 Znak"/>
    <w:basedOn w:val="Domylnaczcionkaakapitu"/>
    <w:link w:val="Nagwek1"/>
    <w:rsid w:val="00F422B2"/>
    <w:rPr>
      <w:rFonts w:ascii="Verdana" w:eastAsiaTheme="majorEastAsia" w:hAnsi="Verdana" w:cstheme="majorBidi"/>
      <w:b/>
      <w:sz w:val="32"/>
      <w:szCs w:val="32"/>
      <w:lang w:eastAsia="pl-PL"/>
    </w:rPr>
  </w:style>
  <w:style w:type="character" w:styleId="UyteHipercze">
    <w:name w:val="FollowedHyperlink"/>
    <w:basedOn w:val="Domylnaczcionkaakapitu"/>
    <w:uiPriority w:val="99"/>
    <w:semiHidden/>
    <w:unhideWhenUsed/>
    <w:rsid w:val="009E5E5D"/>
    <w:rPr>
      <w:color w:val="954F72" w:themeColor="followedHyperlink"/>
      <w:u w:val="single"/>
    </w:rPr>
  </w:style>
  <w:style w:type="character" w:styleId="Pogrubienie">
    <w:name w:val="Strong"/>
    <w:basedOn w:val="Domylnaczcionkaakapitu"/>
    <w:uiPriority w:val="22"/>
    <w:qFormat/>
    <w:rsid w:val="00742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09143">
      <w:bodyDiv w:val="1"/>
      <w:marLeft w:val="0"/>
      <w:marRight w:val="0"/>
      <w:marTop w:val="0"/>
      <w:marBottom w:val="0"/>
      <w:divBdr>
        <w:top w:val="none" w:sz="0" w:space="0" w:color="auto"/>
        <w:left w:val="none" w:sz="0" w:space="0" w:color="auto"/>
        <w:bottom w:val="none" w:sz="0" w:space="0" w:color="auto"/>
        <w:right w:val="none" w:sz="0" w:space="0" w:color="auto"/>
      </w:divBdr>
      <w:divsChild>
        <w:div w:id="159851507">
          <w:marLeft w:val="1440"/>
          <w:marRight w:val="0"/>
          <w:marTop w:val="120"/>
          <w:marBottom w:val="0"/>
          <w:divBdr>
            <w:top w:val="none" w:sz="0" w:space="0" w:color="auto"/>
            <w:left w:val="none" w:sz="0" w:space="0" w:color="auto"/>
            <w:bottom w:val="none" w:sz="0" w:space="0" w:color="auto"/>
            <w:right w:val="none" w:sz="0" w:space="0" w:color="auto"/>
          </w:divBdr>
        </w:div>
        <w:div w:id="1633748414">
          <w:marLeft w:val="1440"/>
          <w:marRight w:val="0"/>
          <w:marTop w:val="120"/>
          <w:marBottom w:val="0"/>
          <w:divBdr>
            <w:top w:val="none" w:sz="0" w:space="0" w:color="auto"/>
            <w:left w:val="none" w:sz="0" w:space="0" w:color="auto"/>
            <w:bottom w:val="none" w:sz="0" w:space="0" w:color="auto"/>
            <w:right w:val="none" w:sz="0" w:space="0" w:color="auto"/>
          </w:divBdr>
        </w:div>
        <w:div w:id="198593578">
          <w:marLeft w:val="1440"/>
          <w:marRight w:val="0"/>
          <w:marTop w:val="120"/>
          <w:marBottom w:val="0"/>
          <w:divBdr>
            <w:top w:val="none" w:sz="0" w:space="0" w:color="auto"/>
            <w:left w:val="none" w:sz="0" w:space="0" w:color="auto"/>
            <w:bottom w:val="none" w:sz="0" w:space="0" w:color="auto"/>
            <w:right w:val="none" w:sz="0" w:space="0" w:color="auto"/>
          </w:divBdr>
        </w:div>
        <w:div w:id="2070376457">
          <w:marLeft w:val="1440"/>
          <w:marRight w:val="0"/>
          <w:marTop w:val="120"/>
          <w:marBottom w:val="0"/>
          <w:divBdr>
            <w:top w:val="none" w:sz="0" w:space="0" w:color="auto"/>
            <w:left w:val="none" w:sz="0" w:space="0" w:color="auto"/>
            <w:bottom w:val="none" w:sz="0" w:space="0" w:color="auto"/>
            <w:right w:val="none" w:sz="0" w:space="0" w:color="auto"/>
          </w:divBdr>
        </w:div>
        <w:div w:id="1380547064">
          <w:marLeft w:val="144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ademy.europa.eu/courses/early-warning-mentoring-for-sm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arlywarningeurope.eu/" TargetMode="External"/><Relationship Id="rId2" Type="http://schemas.openxmlformats.org/officeDocument/2006/relationships/hyperlink" Target="https://www.coig.com.pl/2023-upadlosc-konsumencka_grudzien.php" TargetMode="External"/><Relationship Id="rId1" Type="http://schemas.openxmlformats.org/officeDocument/2006/relationships/hyperlink" Target="https://www.ey.com/pl_pl/law/niewyplacalnosc-firm-polska-analiza-2023-wskazowki-2024" TargetMode="External"/><Relationship Id="rId5" Type="http://schemas.openxmlformats.org/officeDocument/2006/relationships/hyperlink" Target="https://www.earlywarningeurope.eu/ewe-mentor-academy/our-activities/community-of-practice-and-ewema-recommendations" TargetMode="External"/><Relationship Id="rId4" Type="http://schemas.openxmlformats.org/officeDocument/2006/relationships/hyperlink" Target="https://www.earlywarningeurop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FD711-8F46-42E9-9290-BDCB5036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3013</Words>
  <Characters>18078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dc:creator>
  <cp:keywords/>
  <dc:description/>
  <cp:lastModifiedBy>Cegiełka Katarzyna</cp:lastModifiedBy>
  <cp:revision>7</cp:revision>
  <cp:lastPrinted>2024-12-01T12:57:00Z</cp:lastPrinted>
  <dcterms:created xsi:type="dcterms:W3CDTF">2025-03-13T10:24:00Z</dcterms:created>
  <dcterms:modified xsi:type="dcterms:W3CDTF">2025-03-31T11:14:00Z</dcterms:modified>
</cp:coreProperties>
</file>